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40" w:lineRule="auto"/>
        <w:jc w:val="center"/>
      </w:pPr>
      <w:r>
        <w:rPr>
          <w:b/>
          <w:color w:val="00AEB8"/>
          <w:sz w:val="23"/>
        </w:rPr>
        <w:t>QEVATRIX</w:t>
      </w:r>
    </w:p>
    <w:p>
      <w:pPr>
        <w:spacing w:before="0" w:after="40" w:line="240" w:lineRule="auto"/>
        <w:jc w:val="center"/>
      </w:pPr>
      <w:r>
        <w:rPr>
          <w:b/>
          <w:color w:val="18323D"/>
          <w:sz w:val="38"/>
        </w:rPr>
        <w:t>Give Your Experts More Time to Do Expert Work</w:t>
      </w:r>
    </w:p>
    <w:p>
      <w:pPr>
        <w:spacing w:after="40" w:before="0" w:line="240" w:lineRule="auto"/>
        <w:jc w:val="center"/>
      </w:pPr>
      <w:r>
        <w:rPr>
          <w:color w:val="48626C"/>
          <w:sz w:val="18"/>
        </w:rPr>
        <w:t>Evidence-based productivity and ROI executive brief</w:t>
      </w:r>
    </w:p>
    <w:tbl>
      <w:tblPr>
        <w:tblW w:type="auto" w:w="0"/>
        <w:jc w:val="center"/>
        <w:tblLayout w:type="fixed"/>
        <w:tblLook w:firstColumn="1" w:firstRow="1" w:lastColumn="0" w:lastRow="0" w:noHBand="0" w:noVBand="1" w:val="04A0"/>
      </w:tblPr>
      <w:tblGrid>
        <w:gridCol w:w="9994"/>
      </w:tblGrid>
      <w:tr>
        <w:trPr>
          <w:cantSplit/>
        </w:trPr>
        <w:tc>
          <w:tcPr>
            <w:tcW w:type="dxa" w:w="9288"/>
            <w:shd w:fill="EAF7F8"/>
            <w:tcMar>
              <w:top w:w="55" w:type="dxa"/>
              <w:start w:w="80" w:type="dxa"/>
              <w:bottom w:w="55" w:type="dxa"/>
              <w:end w:w="80" w:type="dxa"/>
            </w:tcMar>
          </w:tcPr>
          <w:p>
            <w:pPr>
              <w:spacing w:after="0" w:before="0" w:line="228" w:lineRule="auto"/>
            </w:pPr>
            <w:r>
              <w:rPr>
                <w:sz w:val="14"/>
              </w:rPr>
            </w:r>
            <w:r>
              <w:rPr>
                <w:b/>
                <w:color w:val="18323D"/>
                <w:sz w:val="17"/>
              </w:rPr>
              <w:t>What the evidence says</w:t>
            </w:r>
          </w:p>
          <w:p>
            <w:pPr>
              <w:spacing w:after="0" w:line="228" w:lineRule="auto" w:before="0"/>
            </w:pPr>
            <w:r>
              <w:rPr>
                <w:color w:val="48626C"/>
                <w:sz w:val="14"/>
              </w:rPr>
              <w:t>Published studies show that AI and electronic workflow automation can materially accelerate selected knowledge-work and data-handling tasks. The effect is not universal: task fit and qualified human review remain essential.</w:t>
            </w:r>
          </w:p>
        </w:tc>
      </w:tr>
    </w:tbl>
    <w:p>
      <w:pPr>
        <w:spacing w:after="0" w:before="0" w:line="168" w:lineRule="auto"/>
      </w:pPr>
    </w:p>
    <w:tbl>
      <w:tblPr>
        <w:tblStyle w:val="TableGrid"/>
        <w:tblW w:type="auto" w:w="0"/>
        <w:jc w:val="center"/>
        <w:tblLayout w:type="fixed"/>
        <w:tblLook w:firstColumn="1" w:firstRow="1" w:lastColumn="0" w:lastRow="0" w:noHBand="0" w:noVBand="1" w:val="04A0"/>
      </w:tblPr>
      <w:tblGrid>
        <w:gridCol w:w="4997"/>
        <w:gridCol w:w="4997"/>
      </w:tblGrid>
      <w:tr>
        <w:trPr>
          <w:tblHeader w:val="true"/>
          <w:cantSplit/>
        </w:trPr>
        <w:tc>
          <w:tcPr>
            <w:tcW w:type="dxa" w:w="3240"/>
            <w:vAlign w:val="center"/>
            <w:tcMar>
              <w:top w:w="55" w:type="dxa"/>
              <w:start w:w="80" w:type="dxa"/>
              <w:bottom w:w="55" w:type="dxa"/>
              <w:end w:w="80" w:type="dxa"/>
            </w:tcMar>
            <w:shd w:fill="18323D"/>
          </w:tcPr>
          <w:p>
            <w:pPr>
              <w:spacing w:after="0" w:before="0" w:line="228" w:lineRule="auto"/>
              <w:jc w:val="center"/>
            </w:pPr>
            <w:r>
              <w:rPr>
                <w:sz w:val="14"/>
              </w:rPr>
            </w:r>
            <w:r>
              <w:rPr>
                <w:rFonts w:ascii="Aptos" w:hAnsi="Aptos"/>
                <w:b/>
                <w:color w:val="FFFFFF"/>
                <w:sz w:val="14"/>
              </w:rPr>
              <w:t>Evidence</w:t>
            </w:r>
          </w:p>
        </w:tc>
        <w:tc>
          <w:tcPr>
            <w:tcW w:type="dxa" w:w="5976"/>
            <w:vAlign w:val="center"/>
            <w:tcMar>
              <w:top w:w="55" w:type="dxa"/>
              <w:start w:w="80" w:type="dxa"/>
              <w:bottom w:w="55" w:type="dxa"/>
              <w:end w:w="80" w:type="dxa"/>
            </w:tcMar>
            <w:shd w:fill="18323D"/>
          </w:tcPr>
          <w:p>
            <w:pPr>
              <w:spacing w:after="0" w:before="0" w:line="228" w:lineRule="auto"/>
              <w:jc w:val="center"/>
            </w:pPr>
            <w:r>
              <w:rPr>
                <w:sz w:val="14"/>
              </w:rPr>
            </w:r>
            <w:r>
              <w:rPr>
                <w:rFonts w:ascii="Aptos" w:hAnsi="Aptos"/>
                <w:b/>
                <w:color w:val="FFFFFF"/>
                <w:sz w:val="14"/>
              </w:rPr>
              <w:t>Finding</w:t>
            </w:r>
          </w:p>
        </w:tc>
      </w:tr>
      <w:tr>
        <w:trPr>
          <w:cantSplit/>
        </w:trPr>
        <w:tc>
          <w:tcPr>
            <w:tcW w:type="dxa" w:w="3240"/>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Noy &amp; Zhang, Science (2023)</w:t>
            </w:r>
          </w:p>
        </w:tc>
        <w:tc>
          <w:tcPr>
            <w:tcW w:type="dxa" w:w="5976"/>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Professional writing experiment: 40% lower completion time and 18% higher quality.</w:t>
            </w:r>
          </w:p>
        </w:tc>
      </w:tr>
      <w:tr>
        <w:trPr>
          <w:cantSplit/>
        </w:trPr>
        <w:tc>
          <w:tcPr>
            <w:tcW w:type="dxa" w:w="3240"/>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Brynjolfsson et al., QJE (2025)</w:t>
            </w:r>
          </w:p>
        </w:tc>
        <w:tc>
          <w:tcPr>
            <w:tcW w:type="dxa" w:w="5976"/>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Real-world AI deployment: 15% average productivity increase across 5,172 support agents.</w:t>
            </w:r>
          </w:p>
        </w:tc>
      </w:tr>
      <w:tr>
        <w:trPr>
          <w:cantSplit/>
        </w:trPr>
        <w:tc>
          <w:tcPr>
            <w:tcW w:type="dxa" w:w="3240"/>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Dell'Acqua et al., Organization Science (2026)</w:t>
            </w:r>
          </w:p>
        </w:tc>
        <w:tc>
          <w:tcPr>
            <w:tcW w:type="dxa" w:w="5976"/>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Suitable consulting tasks: 25.1% faster; outside the AI frontier, correctness worsened.</w:t>
            </w:r>
          </w:p>
        </w:tc>
      </w:tr>
      <w:tr>
        <w:trPr>
          <w:cantSplit/>
        </w:trPr>
        <w:tc>
          <w:tcPr>
            <w:tcW w:type="dxa" w:w="3240"/>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Clinical / registry studies</w:t>
            </w:r>
          </w:p>
        </w:tc>
        <w:tc>
          <w:tcPr>
            <w:tcW w:type="dxa" w:w="5976"/>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eCRF/EDC and automated transfer reduced manual collection time and transcription burden in multiple studies.</w:t>
            </w:r>
          </w:p>
        </w:tc>
      </w:tr>
    </w:tbl>
    <w:p>
      <w:pPr>
        <w:spacing w:after="0" w:before="0" w:line="168" w:lineRule="auto"/>
      </w:pPr>
    </w:p>
    <w:p>
      <w:pPr>
        <w:pStyle w:val="Heading2"/>
        <w:spacing w:before="20" w:after="40" w:line="240" w:lineRule="auto"/>
      </w:pPr>
      <w:r>
        <w:t>How Qevatrix creates capacity</w:t>
      </w:r>
    </w:p>
    <w:p>
      <w:pPr>
        <w:spacing w:after="40" w:line="240" w:lineRule="auto" w:before="20"/>
      </w:pPr>
      <w:r>
        <w:t>Qevatrix combines AI-assisted drafting and summarization with routing, reminders, linked records, structured data capture, analytics and reuse of controlled information. It is designed to reduce repetitive administration while preserving human authority for regulated decisions.</w:t>
      </w:r>
    </w:p>
    <w:p>
      <w:pPr>
        <w:pStyle w:val="Heading2"/>
        <w:spacing w:before="20" w:after="40" w:line="240" w:lineRule="auto"/>
      </w:pPr>
      <w:r>
        <w:t>Illustrative base-case model</w:t>
      </w:r>
    </w:p>
    <w:tbl>
      <w:tblPr>
        <w:tblStyle w:val="TableGrid"/>
        <w:tblW w:type="auto" w:w="0"/>
        <w:jc w:val="center"/>
        <w:tblLayout w:type="fixed"/>
        <w:tblLook w:firstColumn="1" w:firstRow="1" w:lastColumn="0" w:lastRow="0" w:noHBand="0" w:noVBand="1" w:val="04A0"/>
      </w:tblPr>
      <w:tblGrid>
        <w:gridCol w:w="1999"/>
        <w:gridCol w:w="1999"/>
        <w:gridCol w:w="1999"/>
        <w:gridCol w:w="1999"/>
        <w:gridCol w:w="1999"/>
      </w:tblGrid>
      <w:tr>
        <w:trPr>
          <w:tblHeader w:val="true"/>
          <w:cantSplit/>
        </w:trPr>
        <w:tc>
          <w:tcPr>
            <w:tcW w:type="dxa" w:w="1728"/>
            <w:vAlign w:val="center"/>
            <w:tcMar>
              <w:top w:w="55" w:type="dxa"/>
              <w:start w:w="80" w:type="dxa"/>
              <w:bottom w:w="55" w:type="dxa"/>
              <w:end w:w="80" w:type="dxa"/>
            </w:tcMar>
            <w:shd w:fill="18323D"/>
          </w:tcPr>
          <w:p>
            <w:pPr>
              <w:spacing w:after="0" w:before="0" w:line="228" w:lineRule="auto"/>
              <w:jc w:val="center"/>
            </w:pPr>
            <w:r>
              <w:rPr>
                <w:sz w:val="14"/>
              </w:rPr>
            </w:r>
            <w:r>
              <w:rPr>
                <w:rFonts w:ascii="Aptos" w:hAnsi="Aptos"/>
                <w:b/>
                <w:color w:val="FFFFFF"/>
                <w:sz w:val="14"/>
              </w:rPr>
              <w:t>Company scenario</w:t>
            </w:r>
          </w:p>
        </w:tc>
        <w:tc>
          <w:tcPr>
            <w:tcW w:type="dxa" w:w="2448"/>
            <w:vAlign w:val="center"/>
            <w:tcMar>
              <w:top w:w="55" w:type="dxa"/>
              <w:start w:w="80" w:type="dxa"/>
              <w:bottom w:w="55" w:type="dxa"/>
              <w:end w:w="80" w:type="dxa"/>
            </w:tcMar>
            <w:shd w:fill="18323D"/>
          </w:tcPr>
          <w:p>
            <w:pPr>
              <w:spacing w:after="0" w:before="0" w:line="228" w:lineRule="auto"/>
              <w:jc w:val="center"/>
            </w:pPr>
            <w:r>
              <w:rPr>
                <w:sz w:val="14"/>
              </w:rPr>
            </w:r>
            <w:r>
              <w:rPr>
                <w:rFonts w:ascii="Aptos" w:hAnsi="Aptos"/>
                <w:b/>
                <w:color w:val="FFFFFF"/>
                <w:sz w:val="14"/>
              </w:rPr>
              <w:t>Configuration</w:t>
            </w:r>
          </w:p>
        </w:tc>
        <w:tc>
          <w:tcPr>
            <w:tcW w:type="dxa" w:w="1512"/>
            <w:vAlign w:val="center"/>
            <w:tcMar>
              <w:top w:w="55" w:type="dxa"/>
              <w:start w:w="80" w:type="dxa"/>
              <w:bottom w:w="55" w:type="dxa"/>
              <w:end w:w="80" w:type="dxa"/>
            </w:tcMar>
            <w:shd w:fill="18323D"/>
          </w:tcPr>
          <w:p>
            <w:pPr>
              <w:spacing w:after="0" w:before="0" w:line="228" w:lineRule="auto"/>
              <w:jc w:val="center"/>
            </w:pPr>
            <w:r>
              <w:rPr>
                <w:sz w:val="14"/>
              </w:rPr>
            </w:r>
            <w:r>
              <w:rPr>
                <w:rFonts w:ascii="Aptos" w:hAnsi="Aptos"/>
                <w:b/>
                <w:color w:val="FFFFFF"/>
                <w:sz w:val="14"/>
              </w:rPr>
              <w:t>Hours released</w:t>
            </w:r>
          </w:p>
        </w:tc>
        <w:tc>
          <w:tcPr>
            <w:tcW w:type="dxa" w:w="1512"/>
            <w:vAlign w:val="center"/>
            <w:tcMar>
              <w:top w:w="55" w:type="dxa"/>
              <w:start w:w="80" w:type="dxa"/>
              <w:bottom w:w="55" w:type="dxa"/>
              <w:end w:w="80" w:type="dxa"/>
            </w:tcMar>
            <w:shd w:fill="18323D"/>
          </w:tcPr>
          <w:p>
            <w:pPr>
              <w:spacing w:after="0" w:before="0" w:line="228" w:lineRule="auto"/>
              <w:jc w:val="center"/>
            </w:pPr>
            <w:r>
              <w:rPr>
                <w:sz w:val="14"/>
              </w:rPr>
            </w:r>
            <w:r>
              <w:rPr>
                <w:rFonts w:ascii="Aptos" w:hAnsi="Aptos"/>
                <w:b/>
                <w:color w:val="FFFFFF"/>
                <w:sz w:val="14"/>
              </w:rPr>
              <w:t>Capacity value</w:t>
            </w:r>
          </w:p>
        </w:tc>
        <w:tc>
          <w:tcPr>
            <w:tcW w:type="dxa" w:w="1296"/>
            <w:vAlign w:val="center"/>
            <w:tcMar>
              <w:top w:w="55" w:type="dxa"/>
              <w:start w:w="80" w:type="dxa"/>
              <w:bottom w:w="55" w:type="dxa"/>
              <w:end w:w="80" w:type="dxa"/>
            </w:tcMar>
            <w:shd w:fill="18323D"/>
          </w:tcPr>
          <w:p>
            <w:pPr>
              <w:spacing w:after="0" w:before="0" w:line="228" w:lineRule="auto"/>
              <w:jc w:val="center"/>
            </w:pPr>
            <w:r>
              <w:rPr>
                <w:sz w:val="14"/>
              </w:rPr>
            </w:r>
            <w:r>
              <w:rPr>
                <w:rFonts w:ascii="Aptos" w:hAnsi="Aptos"/>
                <w:b/>
                <w:color w:val="FFFFFF"/>
                <w:sz w:val="14"/>
              </w:rPr>
              <w:t>Modeled ROI</w:t>
            </w:r>
          </w:p>
        </w:tc>
      </w:tr>
      <w:tr>
        <w:trPr>
          <w:cantSplit/>
        </w:trPr>
        <w:tc>
          <w:tcPr>
            <w:tcW w:type="dxa" w:w="1728"/>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Small</w:t>
            </w:r>
          </w:p>
        </w:tc>
        <w:tc>
          <w:tcPr>
            <w:tcW w:type="dxa" w:w="2448"/>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QualityOS Essentials</w:t>
            </w:r>
          </w:p>
        </w:tc>
        <w:tc>
          <w:tcPr>
            <w:tcW w:type="dxa" w:w="1512"/>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240 / yr</w:t>
            </w:r>
          </w:p>
        </w:tc>
        <w:tc>
          <w:tcPr>
            <w:tcW w:type="dxa" w:w="1512"/>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$14,400</w:t>
            </w:r>
          </w:p>
        </w:tc>
        <w:tc>
          <w:tcPr>
            <w:tcW w:type="dxa" w:w="1296"/>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21%</w:t>
            </w:r>
          </w:p>
        </w:tc>
      </w:tr>
      <w:tr>
        <w:trPr>
          <w:cantSplit/>
        </w:trPr>
        <w:tc>
          <w:tcPr>
            <w:tcW w:type="dxa" w:w="1728"/>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Growth-stage</w:t>
            </w:r>
          </w:p>
        </w:tc>
        <w:tc>
          <w:tcPr>
            <w:tcW w:type="dxa" w:w="2448"/>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DeviceOS Professional</w:t>
            </w:r>
          </w:p>
        </w:tc>
        <w:tc>
          <w:tcPr>
            <w:tcW w:type="dxa" w:w="1512"/>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720 / yr</w:t>
            </w:r>
          </w:p>
        </w:tc>
        <w:tc>
          <w:tcPr>
            <w:tcW w:type="dxa" w:w="1512"/>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$54,000</w:t>
            </w:r>
          </w:p>
        </w:tc>
        <w:tc>
          <w:tcPr>
            <w:tcW w:type="dxa" w:w="1296"/>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50%</w:t>
            </w:r>
          </w:p>
        </w:tc>
      </w:tr>
      <w:tr>
        <w:trPr>
          <w:cantSplit/>
        </w:trPr>
        <w:tc>
          <w:tcPr>
            <w:tcW w:type="dxa" w:w="1728"/>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Established</w:t>
            </w:r>
          </w:p>
        </w:tc>
        <w:tc>
          <w:tcPr>
            <w:tcW w:type="dxa" w:w="2448"/>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DeviceOS Professional*</w:t>
            </w:r>
          </w:p>
        </w:tc>
        <w:tc>
          <w:tcPr>
            <w:tcW w:type="dxa" w:w="1512"/>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2,160 / yr</w:t>
            </w:r>
          </w:p>
        </w:tc>
        <w:tc>
          <w:tcPr>
            <w:tcW w:type="dxa" w:w="1512"/>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$183,600</w:t>
            </w:r>
          </w:p>
        </w:tc>
        <w:tc>
          <w:tcPr>
            <w:tcW w:type="dxa" w:w="1296"/>
            <w:vAlign w:val="center"/>
            <w:tcMar>
              <w:top w:w="55" w:type="dxa"/>
              <w:start w:w="80" w:type="dxa"/>
              <w:bottom w:w="55" w:type="dxa"/>
              <w:end w:w="80" w:type="dxa"/>
            </w:tcMar>
          </w:tcPr>
          <w:p>
            <w:pPr>
              <w:spacing w:after="0" w:before="0" w:line="228" w:lineRule="auto"/>
              <w:jc w:val="left"/>
            </w:pPr>
            <w:r>
              <w:rPr>
                <w:sz w:val="14"/>
              </w:rPr>
            </w:r>
            <w:r>
              <w:rPr>
                <w:rFonts w:ascii="Aptos" w:hAnsi="Aptos"/>
                <w:b w:val="0"/>
                <w:sz w:val="14"/>
              </w:rPr>
              <w:t>411%</w:t>
            </w:r>
          </w:p>
        </w:tc>
      </w:tr>
    </w:tbl>
    <w:p>
      <w:pPr>
        <w:spacing w:after="0" w:before="0" w:line="168" w:lineRule="auto"/>
      </w:pPr>
    </w:p>
    <w:p>
      <w:pPr>
        <w:spacing w:after="40" w:line="240" w:lineRule="auto" w:before="20"/>
      </w:pPr>
      <w:r>
        <w:t>*Illustrative only; enterprise pricing may apply. Core model uses a 25% reduction in eligible repetitive work and excludes consulting avoidance and revenue gains. These values are modeled projections, not observed Qevatrix customer outcomes.</w:t>
      </w:r>
    </w:p>
    <w:p>
      <w:pPr>
        <w:pStyle w:val="Heading2"/>
        <w:spacing w:before="20" w:after="40" w:line="240" w:lineRule="auto"/>
      </w:pPr>
      <w:r>
        <w:t>The growth mechanism</w:t>
      </w:r>
    </w:p>
    <w:p>
      <w:pPr>
        <w:spacing w:after="40" w:line="240" w:lineRule="auto" w:before="20"/>
      </w:pPr>
      <w:r>
        <w:t>Automation -&gt; Time Saved -&gt; Professional Capacity Released -&gt; Capacity Reallocated -&gt; More High-Value Work. Recovered time can support product development, submissions, clinical programs, audits, supplier development, market expansion and quality improvement. Revenue growth is a possible downstream outcome, not a guaranteed software effect.</w:t>
      </w:r>
    </w:p>
    <w:tbl>
      <w:tblPr>
        <w:tblW w:type="auto" w:w="0"/>
        <w:jc w:val="center"/>
        <w:tblLayout w:type="fixed"/>
        <w:tblLook w:firstColumn="1" w:firstRow="1" w:lastColumn="0" w:lastRow="0" w:noHBand="0" w:noVBand="1" w:val="04A0"/>
      </w:tblPr>
      <w:tblGrid>
        <w:gridCol w:w="9994"/>
      </w:tblGrid>
      <w:tr>
        <w:trPr>
          <w:cantSplit/>
        </w:trPr>
        <w:tc>
          <w:tcPr>
            <w:tcW w:type="dxa" w:w="9288"/>
            <w:shd w:fill="EAF7F8"/>
            <w:tcMar>
              <w:top w:w="55" w:type="dxa"/>
              <w:start w:w="80" w:type="dxa"/>
              <w:bottom w:w="55" w:type="dxa"/>
              <w:end w:w="80" w:type="dxa"/>
            </w:tcMar>
          </w:tcPr>
          <w:p>
            <w:pPr>
              <w:spacing w:after="0" w:before="0" w:line="228" w:lineRule="auto"/>
            </w:pPr>
            <w:r>
              <w:rPr>
                <w:sz w:val="14"/>
              </w:rPr>
            </w:r>
            <w:r>
              <w:rPr>
                <w:b/>
                <w:color w:val="18323D"/>
                <w:sz w:val="17"/>
              </w:rPr>
              <w:t>Website-safe headline</w:t>
            </w:r>
          </w:p>
          <w:p>
            <w:pPr>
              <w:spacing w:after="0" w:line="228" w:lineRule="auto" w:before="0"/>
            </w:pPr>
            <w:r>
              <w:rPr>
                <w:color w:val="48626C"/>
                <w:sz w:val="14"/>
              </w:rPr>
              <w:t>Less Administrative Work. More Capacity for Innovation.</w:t>
            </w:r>
          </w:p>
        </w:tc>
      </w:tr>
    </w:tbl>
    <w:p>
      <w:pPr>
        <w:spacing w:after="0" w:before="0" w:line="168" w:lineRule="auto"/>
      </w:pPr>
    </w:p>
    <w:p>
      <w:pPr>
        <w:spacing w:before="20" w:after="40" w:line="240" w:lineRule="auto"/>
        <w:jc w:val="center"/>
      </w:pPr>
      <w:r>
        <w:rPr>
          <w:color w:val="667085"/>
          <w:sz w:val="15"/>
        </w:rPr>
        <w:t>Full study: Qevatrix Productivity and Economic Impact Study | August 2026</w:t>
      </w:r>
    </w:p>
    <w:sectPr w:rsidR="00FC693F" w:rsidRPr="0006063C" w:rsidSect="00034616">
      <w:footerReference w:type="default" r:id="rId9"/>
      <w:pgSz w:w="12240" w:h="15840"/>
      <w:pgMar w:top="461" w:right="893" w:bottom="403"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3"/>
      </w:rPr>
      <w:t xml:space="preserve">Qevatrix Productivity and Economic Impact Study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63A43"/>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60" w:after="30"/>
      <w:outlineLvl w:val="0"/>
    </w:pPr>
    <w:rPr>
      <w:rFonts w:asciiTheme="majorHAnsi" w:eastAsiaTheme="majorEastAsia" w:hAnsiTheme="majorHAnsi" w:cstheme="majorBidi" w:ascii="Aptos Display" w:hAnsi="Aptos Display"/>
      <w:b/>
      <w:bCs/>
      <w:color w:val="18323D"/>
      <w:sz w:val="28"/>
      <w:szCs w:val="28"/>
    </w:rPr>
  </w:style>
  <w:style w:type="paragraph" w:styleId="Heading2">
    <w:name w:val="heading 2"/>
    <w:basedOn w:val="Normal"/>
    <w:next w:val="Normal"/>
    <w:link w:val="Heading2Char"/>
    <w:uiPriority w:val="9"/>
    <w:unhideWhenUsed/>
    <w:qFormat/>
    <w:rsid w:val="00FC693F"/>
    <w:pPr>
      <w:keepNext/>
      <w:keepLines/>
      <w:spacing w:before="60" w:after="30"/>
      <w:outlineLvl w:val="1"/>
    </w:pPr>
    <w:rPr>
      <w:rFonts w:asciiTheme="majorHAnsi" w:eastAsiaTheme="majorEastAsia" w:hAnsiTheme="majorHAnsi" w:cstheme="majorBidi" w:ascii="Aptos Display" w:hAnsi="Aptos Display"/>
      <w:b/>
      <w:bCs/>
      <w:color w:val="00AEB8"/>
      <w:sz w:val="22"/>
      <w:szCs w:val="26"/>
    </w:rPr>
  </w:style>
  <w:style w:type="paragraph" w:styleId="Heading3">
    <w:name w:val="heading 3"/>
    <w:basedOn w:val="Normal"/>
    <w:next w:val="Normal"/>
    <w:link w:val="Heading3Char"/>
    <w:uiPriority w:val="9"/>
    <w:unhideWhenUsed/>
    <w:qFormat/>
    <w:rsid w:val="00FC693F"/>
    <w:pPr>
      <w:keepNext/>
      <w:keepLines/>
      <w:spacing w:before="60" w:after="30"/>
      <w:outlineLvl w:val="2"/>
    </w:pPr>
    <w:rPr>
      <w:rFonts w:asciiTheme="majorHAnsi" w:eastAsiaTheme="majorEastAsia" w:hAnsiTheme="majorHAnsi" w:cstheme="majorBidi" w:ascii="Aptos Display" w:hAnsi="Aptos Display"/>
      <w:b/>
      <w:bCs/>
      <w:color w:val="18323D"/>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240"/>
      <w:contextualSpacing/>
    </w:pPr>
    <w:rPr>
      <w:rFonts w:asciiTheme="majorHAnsi" w:eastAsiaTheme="majorEastAsia" w:hAnsiTheme="majorHAnsi" w:cstheme="majorBidi" w:ascii="Aptos Display" w:hAnsi="Aptos Display"/>
      <w:b/>
      <w:color w:val="18323D"/>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sz w:val="20"/>
    </w:rPr>
  </w:style>
  <w:style w:type="paragraph" w:styleId="ListBullet2">
    <w:name w:val="List Bullet 2"/>
    <w:basedOn w:val="Normal"/>
    <w:uiPriority w:val="99"/>
    <w:unhideWhenUsed/>
    <w:rsid w:val="00326F90"/>
    <w:pPr>
      <w:numPr>
        <w:numId w:val="2"/>
      </w:numPr>
      <w:contextualSpacing/>
    </w:pPr>
    <w:rPr>
      <w:rFonts w:ascii="Aptos" w:hAnsi="Aptos"/>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ptos" w:hAnsi="Aptos"/>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