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00"/>
        <w:jc w:val="center"/>
      </w:pPr>
      <w:r>
        <w:rPr>
          <w:rFonts w:ascii="Aptos Display" w:hAnsi="Aptos Display"/>
          <w:b/>
          <w:color w:val="00AEB8"/>
          <w:sz w:val="36"/>
        </w:rPr>
        <w:t>QEVATRIX</w:t>
      </w:r>
    </w:p>
    <w:p>
      <w:pPr>
        <w:jc w:val="center"/>
      </w:pPr>
      <w:r>
        <w:rPr>
          <w:b/>
          <w:color w:val="18323D"/>
          <w:sz w:val="60"/>
        </w:rPr>
        <w:t>Productivity and Economic Impact Study</w:t>
      </w:r>
    </w:p>
    <w:p>
      <w:pPr>
        <w:jc w:val="center"/>
      </w:pPr>
      <w:r>
        <w:rPr>
          <w:color w:val="48626C"/>
          <w:sz w:val="28"/>
        </w:rPr>
        <w:t>Evidence-Based Research, Economic Model, and Website Publication Package</w:t>
      </w:r>
    </w:p>
    <w:p>
      <w:pPr>
        <w:spacing w:before="560"/>
        <w:jc w:val="center"/>
      </w:pPr>
      <w:r>
        <w:rPr>
          <w:color w:val="667085"/>
          <w:sz w:val="22"/>
        </w:rPr>
        <w:t>Prepared for Qevatrix  |  August 24, 2026</w:t>
      </w:r>
    </w:p>
    <w:tbl>
      <w:tblPr>
        <w:tblW w:type="auto" w:w="0"/>
        <w:jc w:val="center"/>
        <w:tblLayout w:type="fixed"/>
        <w:tblLook w:firstColumn="1" w:firstRow="1" w:lastColumn="0" w:lastRow="0" w:noHBand="0" w:noVBand="1" w:val="04A0"/>
      </w:tblPr>
      <w:tblGrid>
        <w:gridCol w:w="9994"/>
      </w:tblGrid>
      <w:tr>
        <w:trPr>
          <w:cantSplit/>
        </w:trPr>
        <w:tc>
          <w:tcPr>
            <w:tcW w:type="dxa" w:w="9288"/>
            <w:shd w:fill="EAF7F8"/>
            <w:tcMar>
              <w:top w:w="140" w:type="dxa"/>
              <w:start w:w="160" w:type="dxa"/>
              <w:bottom w:w="140" w:type="dxa"/>
              <w:end w:w="160" w:type="dxa"/>
            </w:tcMar>
          </w:tcPr>
          <w:p>
            <w:pPr>
              <w:spacing w:after="80"/>
            </w:pPr>
            <w:r/>
            <w:r>
              <w:rPr>
                <w:b/>
                <w:color w:val="18323D"/>
                <w:sz w:val="21"/>
              </w:rPr>
              <w:t>Study purpose</w:t>
            </w:r>
          </w:p>
          <w:p>
            <w:pPr>
              <w:spacing w:after="0" w:line="259" w:lineRule="auto"/>
            </w:pPr>
            <w:r>
              <w:rPr>
                <w:color w:val="48626C"/>
                <w:sz w:val="19"/>
              </w:rPr>
              <w:t>Evaluate whether published evidence on AI-assisted knowledge work, process automation and electronic clinical data capture supports a defensible model in which Qevatrix can reduce repetitive administrative workload, release professional capacity, and enable higher-value work. Qevatrix-specific ROI values in this report are scenario models, not observed customer outcomes.</w:t>
            </w:r>
          </w:p>
        </w:tc>
      </w:tr>
    </w:tbl>
    <w:p>
      <w:pPr>
        <w:spacing w:after="0"/>
      </w:pPr>
    </w:p>
    <w:p>
      <w:r>
        <w:br w:type="page"/>
      </w:r>
    </w:p>
    <w:p>
      <w:pPr>
        <w:pStyle w:val="Heading1"/>
      </w:pPr>
      <w:r>
        <w:t>Executive Summary</w:t>
      </w:r>
    </w:p>
    <w:p>
      <w:pPr>
        <w:spacing w:after="140" w:line="269" w:lineRule="auto"/>
      </w:pPr>
      <w:r>
        <w:t>The published evidence supports a measured conclusion: AI and workflow automation can materially improve the speed of selected knowledge-work and data-handling tasks, but effects vary by task, user expertise, system design and the degree of human oversight. The strongest Qevatrix proposition is therefore not “AI replaces regulated professionals.” It is that well-designed automation can remove repetitive coordination, drafting, data-entry, monitoring and consolidation work while preserving human judgment for regulated decisions.</w:t>
      </w:r>
    </w:p>
    <w:p>
      <w:pPr>
        <w:spacing w:after="140" w:line="269" w:lineRule="auto"/>
      </w:pPr>
      <w:r>
        <w:t>Three high-quality studies anchor this conclusion. Noy and Zhang (2023) found that generative AI reduced completion time by 40% and increased quality by 18% in a randomized experiment involving professional writing tasks. Brynjolfsson, Li, and Raymond (2025) observed a 15% average increase in customer-support productivity in a real-world deployment, with larger gains among less experienced workers. Dell’Acqua et al. (2026) found that consultants using GPT-4 completed suitable tasks 25.1% faster and completed 12.2% more tasks, but they were less likely to produce correct answers on a task outside the AI capability frontier. This mixed result is directly relevant to regulated software: automation should target suitable tasks and preserve qualified review where correctness and judgment matter.</w:t>
      </w:r>
    </w:p>
    <w:p>
      <w:pPr>
        <w:spacing w:after="140" w:line="269" w:lineRule="auto"/>
      </w:pPr>
      <w:r>
        <w:t>Clinical and registry evidence reaches a similar conclusion for structured automation. Electronic case report forms have been shown to reduce collection time versus paper, and EDC outperformed spreadsheet-based registry collection by 22% in a crossover study. More recent studies of EHR-to-EDC automation demonstrate that substantial portions of data entry can be automated and that automation can reduce staff effort and transcription error. These findings support the mechanisms used by ClinicalOS and EvidenceOS, while not establishing a universal Qevatrix effect size.</w:t>
      </w:r>
    </w:p>
    <w:p>
      <w:pPr>
        <w:spacing w:after="140" w:line="269" w:lineRule="auto"/>
      </w:pPr>
      <w:r>
        <w:t>For economic modeling, this study deliberately uses lower effect assumptions than the strongest published AI results. The core scenarios apply 15% (conservative), 25% (base), and 35% (high-utilization) reductions only to hours classified as suitable, repetitive, Qevatrix-addressable work. Consulting avoidance and revenue acceleration are excluded from the base ROI calculation to prevent double counting and overstatement.</w:t>
      </w:r>
    </w:p>
    <w:tbl>
      <w:tblPr>
        <w:tblStyle w:val="TableGrid"/>
        <w:tblW w:type="auto" w:w="0"/>
        <w:jc w:val="center"/>
        <w:tblLayout w:type="fixed"/>
        <w:tblLook w:firstColumn="1" w:firstRow="1" w:lastColumn="0" w:lastRow="0" w:noHBand="0" w:noVBand="1" w:val="04A0"/>
      </w:tblPr>
      <w:tblGrid>
        <w:gridCol w:w="1428"/>
        <w:gridCol w:w="1428"/>
        <w:gridCol w:w="1428"/>
        <w:gridCol w:w="1428"/>
        <w:gridCol w:w="1428"/>
        <w:gridCol w:w="1428"/>
        <w:gridCol w:w="1428"/>
      </w:tblGrid>
      <w:tr>
        <w:trPr>
          <w:tblHeader w:val="true"/>
          <w:cantSplit/>
        </w:trPr>
        <w:tc>
          <w:tcPr>
            <w:tcW w:type="dxa" w:w="2088"/>
            <w:vAlign w:val="center"/>
            <w:tcMar>
              <w:top w:w="100" w:type="dxa"/>
              <w:start w:w="110" w:type="dxa"/>
              <w:bottom w:w="100" w:type="dxa"/>
              <w:end w:w="110" w:type="dxa"/>
            </w:tcMar>
            <w:shd w:fill="18323D"/>
          </w:tcPr>
          <w:p>
            <w:pPr>
              <w:spacing w:after="0" w:before="0"/>
              <w:jc w:val="center"/>
            </w:pPr>
            <w:r/>
            <w:r>
              <w:rPr>
                <w:rFonts w:ascii="Aptos" w:hAnsi="Aptos"/>
                <w:b/>
                <w:color w:val="FFFFFF"/>
                <w:sz w:val="16"/>
              </w:rPr>
              <w:t>Scenario</w:t>
            </w:r>
          </w:p>
        </w:tc>
        <w:tc>
          <w:tcPr>
            <w:tcW w:type="dxa" w:w="1800"/>
            <w:vAlign w:val="center"/>
            <w:tcMar>
              <w:top w:w="100" w:type="dxa"/>
              <w:start w:w="110" w:type="dxa"/>
              <w:bottom w:w="100" w:type="dxa"/>
              <w:end w:w="110" w:type="dxa"/>
            </w:tcMar>
            <w:shd w:fill="18323D"/>
          </w:tcPr>
          <w:p>
            <w:pPr>
              <w:spacing w:after="0" w:before="0"/>
              <w:jc w:val="center"/>
            </w:pPr>
            <w:r/>
            <w:r>
              <w:rPr>
                <w:rFonts w:ascii="Aptos" w:hAnsi="Aptos"/>
                <w:b/>
                <w:color w:val="FFFFFF"/>
                <w:sz w:val="16"/>
              </w:rPr>
              <w:t>Subscription</w:t>
            </w:r>
          </w:p>
        </w:tc>
        <w:tc>
          <w:tcPr>
            <w:tcW w:type="dxa" w:w="1152"/>
            <w:vAlign w:val="center"/>
            <w:tcMar>
              <w:top w:w="100" w:type="dxa"/>
              <w:start w:w="110" w:type="dxa"/>
              <w:bottom w:w="100" w:type="dxa"/>
              <w:end w:w="110" w:type="dxa"/>
            </w:tcMar>
            <w:shd w:fill="18323D"/>
          </w:tcPr>
          <w:p>
            <w:pPr>
              <w:spacing w:after="0" w:before="0"/>
              <w:jc w:val="center"/>
            </w:pPr>
            <w:r/>
            <w:r>
              <w:rPr>
                <w:rFonts w:ascii="Aptos" w:hAnsi="Aptos"/>
                <w:b/>
                <w:color w:val="FFFFFF"/>
                <w:sz w:val="16"/>
              </w:rPr>
              <w:t>Eligible hours/yr</w:t>
            </w:r>
          </w:p>
        </w:tc>
        <w:tc>
          <w:tcPr>
            <w:tcW w:type="dxa" w:w="1296"/>
            <w:vAlign w:val="center"/>
            <w:tcMar>
              <w:top w:w="100" w:type="dxa"/>
              <w:start w:w="110" w:type="dxa"/>
              <w:bottom w:w="100" w:type="dxa"/>
              <w:end w:w="110" w:type="dxa"/>
            </w:tcMar>
            <w:shd w:fill="18323D"/>
          </w:tcPr>
          <w:p>
            <w:pPr>
              <w:spacing w:after="0" w:before="0"/>
              <w:jc w:val="center"/>
            </w:pPr>
            <w:r/>
            <w:r>
              <w:rPr>
                <w:rFonts w:ascii="Aptos" w:hAnsi="Aptos"/>
                <w:b/>
                <w:color w:val="FFFFFF"/>
                <w:sz w:val="16"/>
              </w:rPr>
              <w:t>Base hours released</w:t>
            </w:r>
          </w:p>
        </w:tc>
        <w:tc>
          <w:tcPr>
            <w:tcW w:type="dxa" w:w="1224"/>
            <w:vAlign w:val="center"/>
            <w:tcMar>
              <w:top w:w="100" w:type="dxa"/>
              <w:start w:w="110" w:type="dxa"/>
              <w:bottom w:w="100" w:type="dxa"/>
              <w:end w:w="110" w:type="dxa"/>
            </w:tcMar>
            <w:shd w:fill="18323D"/>
          </w:tcPr>
          <w:p>
            <w:pPr>
              <w:spacing w:after="0" w:before="0"/>
              <w:jc w:val="center"/>
            </w:pPr>
            <w:r/>
            <w:r>
              <w:rPr>
                <w:rFonts w:ascii="Aptos" w:hAnsi="Aptos"/>
                <w:b/>
                <w:color w:val="FFFFFF"/>
                <w:sz w:val="16"/>
              </w:rPr>
              <w:t>Capacity value</w:t>
            </w:r>
          </w:p>
        </w:tc>
        <w:tc>
          <w:tcPr>
            <w:tcW w:type="dxa" w:w="936"/>
            <w:vAlign w:val="center"/>
            <w:tcMar>
              <w:top w:w="100" w:type="dxa"/>
              <w:start w:w="110" w:type="dxa"/>
              <w:bottom w:w="100" w:type="dxa"/>
              <w:end w:w="110" w:type="dxa"/>
            </w:tcMar>
            <w:shd w:fill="18323D"/>
          </w:tcPr>
          <w:p>
            <w:pPr>
              <w:spacing w:after="0" w:before="0"/>
              <w:jc w:val="center"/>
            </w:pPr>
            <w:r/>
            <w:r>
              <w:rPr>
                <w:rFonts w:ascii="Aptos" w:hAnsi="Aptos"/>
                <w:b/>
                <w:color w:val="FFFFFF"/>
                <w:sz w:val="16"/>
              </w:rPr>
              <w:t>Modeled ROI</w:t>
            </w:r>
          </w:p>
        </w:tc>
        <w:tc>
          <w:tcPr>
            <w:tcW w:type="dxa" w:w="1080"/>
            <w:vAlign w:val="center"/>
            <w:tcMar>
              <w:top w:w="100" w:type="dxa"/>
              <w:start w:w="110" w:type="dxa"/>
              <w:bottom w:w="100" w:type="dxa"/>
              <w:end w:w="110" w:type="dxa"/>
            </w:tcMar>
            <w:shd w:fill="18323D"/>
          </w:tcPr>
          <w:p>
            <w:pPr>
              <w:spacing w:after="0" w:before="0"/>
              <w:jc w:val="center"/>
            </w:pPr>
            <w:r/>
            <w:r>
              <w:rPr>
                <w:rFonts w:ascii="Aptos" w:hAnsi="Aptos"/>
                <w:b/>
                <w:color w:val="FFFFFF"/>
                <w:sz w:val="16"/>
              </w:rPr>
              <w:t>Work-years released</w:t>
            </w:r>
          </w:p>
        </w:tc>
      </w:tr>
      <w:tr>
        <w:trPr>
          <w:cantSplit/>
        </w:trPr>
        <w:tc>
          <w:tcPr>
            <w:tcW w:type="dxa" w:w="2088"/>
            <w:vAlign w:val="center"/>
            <w:tcMar>
              <w:top w:w="100" w:type="dxa"/>
              <w:start w:w="110" w:type="dxa"/>
              <w:bottom w:w="100" w:type="dxa"/>
              <w:end w:w="110" w:type="dxa"/>
            </w:tcMar>
          </w:tcPr>
          <w:p>
            <w:pPr>
              <w:spacing w:after="0" w:before="0"/>
              <w:jc w:val="left"/>
            </w:pPr>
            <w:r/>
            <w:r>
              <w:rPr>
                <w:rFonts w:ascii="Aptos" w:hAnsi="Aptos"/>
                <w:b w:val="0"/>
                <w:sz w:val="16"/>
              </w:rPr>
              <w:t>Small medical-device company</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QualityOS Essentials</w:t>
            </w:r>
          </w:p>
        </w:tc>
        <w:tc>
          <w:tcPr>
            <w:tcW w:type="dxa" w:w="1152"/>
            <w:vAlign w:val="center"/>
            <w:tcMar>
              <w:top w:w="100" w:type="dxa"/>
              <w:start w:w="110" w:type="dxa"/>
              <w:bottom w:w="100" w:type="dxa"/>
              <w:end w:w="110" w:type="dxa"/>
            </w:tcMar>
          </w:tcPr>
          <w:p>
            <w:pPr>
              <w:spacing w:after="0" w:before="0"/>
              <w:jc w:val="left"/>
            </w:pPr>
            <w:r/>
            <w:r>
              <w:rPr>
                <w:rFonts w:ascii="Aptos" w:hAnsi="Aptos"/>
                <w:b w:val="0"/>
                <w:sz w:val="16"/>
              </w:rPr>
              <w:t>960</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6"/>
              </w:rPr>
              <w:t>240</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$14,400</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21%</w:t>
            </w:r>
          </w:p>
        </w:tc>
        <w:tc>
          <w:tcPr>
            <w:tcW w:type="dxa" w:w="1080"/>
            <w:vAlign w:val="center"/>
            <w:tcMar>
              <w:top w:w="100" w:type="dxa"/>
              <w:start w:w="110" w:type="dxa"/>
              <w:bottom w:w="100" w:type="dxa"/>
              <w:end w:w="110" w:type="dxa"/>
            </w:tcMar>
          </w:tcPr>
          <w:p>
            <w:pPr>
              <w:spacing w:after="0" w:before="0"/>
              <w:jc w:val="left"/>
            </w:pPr>
            <w:r/>
            <w:r>
              <w:rPr>
                <w:rFonts w:ascii="Aptos" w:hAnsi="Aptos"/>
                <w:b w:val="0"/>
                <w:sz w:val="16"/>
              </w:rPr>
              <w:t>0.12</w:t>
            </w:r>
          </w:p>
        </w:tc>
      </w:tr>
      <w:tr>
        <w:trPr>
          <w:cantSplit/>
        </w:trPr>
        <w:tc>
          <w:tcPr>
            <w:tcW w:type="dxa" w:w="2088"/>
            <w:vAlign w:val="center"/>
            <w:tcMar>
              <w:top w:w="100" w:type="dxa"/>
              <w:start w:w="110" w:type="dxa"/>
              <w:bottom w:w="100" w:type="dxa"/>
              <w:end w:w="110" w:type="dxa"/>
            </w:tcMar>
          </w:tcPr>
          <w:p>
            <w:pPr>
              <w:spacing w:after="0" w:before="0"/>
              <w:jc w:val="left"/>
            </w:pPr>
            <w:r/>
            <w:r>
              <w:rPr>
                <w:rFonts w:ascii="Aptos" w:hAnsi="Aptos"/>
                <w:b w:val="0"/>
                <w:sz w:val="16"/>
              </w:rPr>
              <w:t>Growth-stage manufacturer</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DeviceOS Professional</w:t>
            </w:r>
          </w:p>
        </w:tc>
        <w:tc>
          <w:tcPr>
            <w:tcW w:type="dxa" w:w="1152"/>
            <w:vAlign w:val="center"/>
            <w:tcMar>
              <w:top w:w="100" w:type="dxa"/>
              <w:start w:w="110" w:type="dxa"/>
              <w:bottom w:w="100" w:type="dxa"/>
              <w:end w:w="110" w:type="dxa"/>
            </w:tcMar>
          </w:tcPr>
          <w:p>
            <w:pPr>
              <w:spacing w:after="0" w:before="0"/>
              <w:jc w:val="left"/>
            </w:pPr>
            <w:r/>
            <w:r>
              <w:rPr>
                <w:rFonts w:ascii="Aptos" w:hAnsi="Aptos"/>
                <w:b w:val="0"/>
                <w:sz w:val="16"/>
              </w:rPr>
              <w:t>2,880</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6"/>
              </w:rPr>
              <w:t>720</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$54,000</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50%</w:t>
            </w:r>
          </w:p>
        </w:tc>
        <w:tc>
          <w:tcPr>
            <w:tcW w:type="dxa" w:w="1080"/>
            <w:vAlign w:val="center"/>
            <w:tcMar>
              <w:top w:w="100" w:type="dxa"/>
              <w:start w:w="110" w:type="dxa"/>
              <w:bottom w:w="100" w:type="dxa"/>
              <w:end w:w="110" w:type="dxa"/>
            </w:tcMar>
          </w:tcPr>
          <w:p>
            <w:pPr>
              <w:spacing w:after="0" w:before="0"/>
              <w:jc w:val="left"/>
            </w:pPr>
            <w:r/>
            <w:r>
              <w:rPr>
                <w:rFonts w:ascii="Aptos" w:hAnsi="Aptos"/>
                <w:b w:val="0"/>
                <w:sz w:val="16"/>
              </w:rPr>
              <w:t>0.38</w:t>
            </w:r>
          </w:p>
        </w:tc>
      </w:tr>
      <w:tr>
        <w:trPr>
          <w:cantSplit/>
        </w:trPr>
        <w:tc>
          <w:tcPr>
            <w:tcW w:type="dxa" w:w="2088"/>
            <w:vAlign w:val="center"/>
            <w:tcMar>
              <w:top w:w="100" w:type="dxa"/>
              <w:start w:w="110" w:type="dxa"/>
              <w:bottom w:w="100" w:type="dxa"/>
              <w:end w:w="110" w:type="dxa"/>
            </w:tcMar>
          </w:tcPr>
          <w:p>
            <w:pPr>
              <w:spacing w:after="0" w:before="0"/>
              <w:jc w:val="left"/>
            </w:pPr>
            <w:r/>
            <w:r>
              <w:rPr>
                <w:rFonts w:ascii="Aptos" w:hAnsi="Aptos"/>
                <w:b w:val="0"/>
                <w:sz w:val="16"/>
              </w:rPr>
              <w:t>Established manufacturer</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DeviceOS Professional</w:t>
            </w:r>
          </w:p>
        </w:tc>
        <w:tc>
          <w:tcPr>
            <w:tcW w:type="dxa" w:w="1152"/>
            <w:vAlign w:val="center"/>
            <w:tcMar>
              <w:top w:w="100" w:type="dxa"/>
              <w:start w:w="110" w:type="dxa"/>
              <w:bottom w:w="100" w:type="dxa"/>
              <w:end w:w="110" w:type="dxa"/>
            </w:tcMar>
          </w:tcPr>
          <w:p>
            <w:pPr>
              <w:spacing w:after="0" w:before="0"/>
              <w:jc w:val="left"/>
            </w:pPr>
            <w:r/>
            <w:r>
              <w:rPr>
                <w:rFonts w:ascii="Aptos" w:hAnsi="Aptos"/>
                <w:b w:val="0"/>
                <w:sz w:val="16"/>
              </w:rPr>
              <w:t>8,640</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6"/>
              </w:rPr>
              <w:t>2,160</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$183,600</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411%</w:t>
            </w:r>
          </w:p>
        </w:tc>
        <w:tc>
          <w:tcPr>
            <w:tcW w:type="dxa" w:w="1080"/>
            <w:vAlign w:val="center"/>
            <w:tcMar>
              <w:top w:w="100" w:type="dxa"/>
              <w:start w:w="110" w:type="dxa"/>
              <w:bottom w:w="100" w:type="dxa"/>
              <w:end w:w="110" w:type="dxa"/>
            </w:tcMar>
          </w:tcPr>
          <w:p>
            <w:pPr>
              <w:spacing w:after="0" w:before="0"/>
              <w:jc w:val="left"/>
            </w:pPr>
            <w:r/>
            <w:r>
              <w:rPr>
                <w:rFonts w:ascii="Aptos" w:hAnsi="Aptos"/>
                <w:b w:val="0"/>
                <w:sz w:val="16"/>
              </w:rPr>
              <w:t>1.12</w:t>
            </w:r>
          </w:p>
        </w:tc>
      </w:tr>
    </w:tbl>
    <w:p>
      <w:pPr>
        <w:spacing w:after="40"/>
      </w:pPr>
    </w:p>
    <w:tbl>
      <w:tblPr>
        <w:tblW w:type="auto" w:w="0"/>
        <w:jc w:val="center"/>
        <w:tblLayout w:type="fixed"/>
        <w:tblLook w:firstColumn="1" w:firstRow="1" w:lastColumn="0" w:lastRow="0" w:noHBand="0" w:noVBand="1" w:val="04A0"/>
      </w:tblPr>
      <w:tblGrid>
        <w:gridCol w:w="9994"/>
      </w:tblGrid>
      <w:tr>
        <w:trPr>
          <w:cantSplit/>
        </w:trPr>
        <w:tc>
          <w:tcPr>
            <w:tcW w:type="dxa" w:w="9288"/>
            <w:shd w:fill="EAF7F8"/>
            <w:tcMar>
              <w:top w:w="140" w:type="dxa"/>
              <w:start w:w="160" w:type="dxa"/>
              <w:bottom w:w="140" w:type="dxa"/>
              <w:end w:w="160" w:type="dxa"/>
            </w:tcMar>
          </w:tcPr>
          <w:p>
            <w:pPr>
              <w:spacing w:after="80"/>
            </w:pPr>
            <w:r/>
            <w:r>
              <w:rPr>
                <w:b/>
                <w:color w:val="18323D"/>
                <w:sz w:val="21"/>
              </w:rPr>
              <w:t>Interpretation</w:t>
            </w:r>
          </w:p>
          <w:p>
            <w:pPr>
              <w:spacing w:after="0" w:line="259" w:lineRule="auto"/>
            </w:pPr>
            <w:r>
              <w:rPr>
                <w:color w:val="48626C"/>
                <w:sz w:val="19"/>
              </w:rPr>
              <w:t>The base-case results are not measured customer savings. They show what the economics would look like if a company’s eligible repetitive work were reduced by 25%. Small teams need high utilization to justify a full platform on labor capacity alone; growth-stage and larger teams reach break-even more readily because the subscription cost is spread across more addressable work.</w:t>
            </w:r>
          </w:p>
        </w:tc>
      </w:tr>
    </w:tbl>
    <w:p>
      <w:pPr>
        <w:spacing w:after="0"/>
      </w:pPr>
    </w:p>
    <w:p>
      <w:pPr>
        <w:pStyle w:val="Heading1"/>
      </w:pPr>
      <w:r>
        <w:t>1. Background and Study Objective</w:t>
      </w:r>
    </w:p>
    <w:p>
      <w:pPr>
        <w:spacing w:after="140" w:line="269" w:lineRule="auto"/>
      </w:pPr>
      <w:r>
        <w:t>Medical-device and life-sciences professionals spend substantial time producing controlled documents, collecting evidence, tracking actions, consolidating data, researching requirements, preparing reports and coordinating review. These activities are necessary, but many are repetitive and information-intensive. Qevatrix is designed to automate or assist portions of this work across quality, regulatory, clinical, evidence and trademark workflows.</w:t>
      </w:r>
    </w:p>
    <w:p>
      <w:pPr>
        <w:spacing w:after="140" w:line="269" w:lineRule="auto"/>
      </w:pPr>
      <w:r>
        <w:t>The study objective is to evaluate the evidence for the mechanism “automation -&gt; time saved -&gt; capacity released -&gt; capacity reallocated -&gt; potential economic value.” It intentionally does not equate time saved with layoffs, cash savings or revenue. Recovered time may instead support new product development, submissions, clinical programs, quality improvement, market expansion and other strategic work.</w:t>
      </w:r>
    </w:p>
    <w:p>
      <w:pPr>
        <w:pStyle w:val="Heading1"/>
      </w:pPr>
      <w:r>
        <w:t>2. Current Qevatrix Portfolio Reviewed</w:t>
      </w:r>
    </w:p>
    <w:tbl>
      <w:tblPr>
        <w:tblStyle w:val="TableGrid"/>
        <w:tblW w:type="auto" w:w="0"/>
        <w:jc w:val="center"/>
        <w:tblLayout w:type="fixed"/>
        <w:tblLook w:firstColumn="1" w:firstRow="1" w:lastColumn="0" w:lastRow="0" w:noHBand="0" w:noVBand="1" w:val="04A0"/>
      </w:tblPr>
      <w:tblGrid>
        <w:gridCol w:w="2498"/>
        <w:gridCol w:w="2498"/>
        <w:gridCol w:w="2498"/>
        <w:gridCol w:w="2498"/>
      </w:tblGrid>
      <w:tr>
        <w:trPr>
          <w:tblHeader w:val="true"/>
          <w:cantSplit/>
        </w:trPr>
        <w:tc>
          <w:tcPr>
            <w:tcW w:type="dxa" w:w="1440"/>
            <w:vAlign w:val="center"/>
            <w:tcMar>
              <w:top w:w="100" w:type="dxa"/>
              <w:start w:w="110" w:type="dxa"/>
              <w:bottom w:w="100" w:type="dxa"/>
              <w:end w:w="110" w:type="dxa"/>
            </w:tcMar>
            <w:shd w:fill="18323D"/>
          </w:tcPr>
          <w:p>
            <w:pPr>
              <w:spacing w:after="0" w:before="0"/>
              <w:jc w:val="center"/>
            </w:pPr>
            <w:r/>
            <w:r>
              <w:rPr>
                <w:rFonts w:ascii="Aptos" w:hAnsi="Aptos"/>
                <w:b/>
                <w:color w:val="FFFFFF"/>
                <w:sz w:val="16"/>
              </w:rPr>
              <w:t>Application</w:t>
            </w:r>
          </w:p>
        </w:tc>
        <w:tc>
          <w:tcPr>
            <w:tcW w:type="dxa" w:w="1224"/>
            <w:vAlign w:val="center"/>
            <w:tcMar>
              <w:top w:w="100" w:type="dxa"/>
              <w:start w:w="110" w:type="dxa"/>
              <w:bottom w:w="100" w:type="dxa"/>
              <w:end w:w="110" w:type="dxa"/>
            </w:tcMar>
            <w:shd w:fill="18323D"/>
          </w:tcPr>
          <w:p>
            <w:pPr>
              <w:spacing w:after="0" w:before="0"/>
              <w:jc w:val="center"/>
            </w:pPr>
            <w:r/>
            <w:r>
              <w:rPr>
                <w:rFonts w:ascii="Aptos" w:hAnsi="Aptos"/>
                <w:b/>
                <w:color w:val="FFFFFF"/>
                <w:sz w:val="16"/>
              </w:rPr>
              <w:t>Current status</w:t>
            </w:r>
          </w:p>
        </w:tc>
        <w:tc>
          <w:tcPr>
            <w:tcW w:type="dxa" w:w="5616"/>
            <w:vAlign w:val="center"/>
            <w:tcMar>
              <w:top w:w="100" w:type="dxa"/>
              <w:start w:w="110" w:type="dxa"/>
              <w:bottom w:w="100" w:type="dxa"/>
              <w:end w:w="110" w:type="dxa"/>
            </w:tcMar>
            <w:shd w:fill="18323D"/>
          </w:tcPr>
          <w:p>
            <w:pPr>
              <w:spacing w:after="0" w:before="0"/>
              <w:jc w:val="center"/>
            </w:pPr>
            <w:r/>
            <w:r>
              <w:rPr>
                <w:rFonts w:ascii="Aptos" w:hAnsi="Aptos"/>
                <w:b/>
                <w:color w:val="FFFFFF"/>
                <w:sz w:val="16"/>
              </w:rPr>
              <w:t>Primary scope reviewed</w:t>
            </w:r>
          </w:p>
        </w:tc>
        <w:tc>
          <w:tcPr>
            <w:tcW w:type="dxa" w:w="1800"/>
            <w:vAlign w:val="center"/>
            <w:tcMar>
              <w:top w:w="100" w:type="dxa"/>
              <w:start w:w="110" w:type="dxa"/>
              <w:bottom w:w="100" w:type="dxa"/>
              <w:end w:w="110" w:type="dxa"/>
            </w:tcMar>
            <w:shd w:fill="18323D"/>
          </w:tcPr>
          <w:p>
            <w:pPr>
              <w:spacing w:after="0" w:before="0"/>
              <w:jc w:val="center"/>
            </w:pPr>
            <w:r/>
            <w:r>
              <w:rPr>
                <w:rFonts w:ascii="Aptos" w:hAnsi="Aptos"/>
                <w:b/>
                <w:color w:val="FFFFFF"/>
                <w:sz w:val="16"/>
              </w:rPr>
              <w:t>Modeled eligible-time effect</w:t>
            </w:r>
          </w:p>
        </w:tc>
      </w:tr>
      <w:tr>
        <w:trPr>
          <w:cantSplit/>
        </w:trPr>
        <w:tc>
          <w:tcPr>
            <w:tcW w:type="dxa" w:w="1440"/>
            <w:vAlign w:val="center"/>
            <w:tcMar>
              <w:top w:w="100" w:type="dxa"/>
              <w:start w:w="110" w:type="dxa"/>
              <w:bottom w:w="100" w:type="dxa"/>
              <w:end w:w="110" w:type="dxa"/>
            </w:tcMar>
          </w:tcPr>
          <w:p>
            <w:pPr>
              <w:spacing w:after="0" w:before="0"/>
              <w:jc w:val="left"/>
            </w:pPr>
            <w:r/>
            <w:r>
              <w:rPr>
                <w:rFonts w:ascii="Aptos" w:hAnsi="Aptos"/>
                <w:b w:val="0"/>
                <w:sz w:val="16"/>
              </w:rPr>
              <w:t>QualityOS</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Available</w:t>
            </w:r>
          </w:p>
        </w:tc>
        <w:tc>
          <w:tcPr>
            <w:tcW w:type="dxa" w:w="5616"/>
            <w:vAlign w:val="center"/>
            <w:tcMar>
              <w:top w:w="100" w:type="dxa"/>
              <w:start w:w="110" w:type="dxa"/>
              <w:bottom w:w="100" w:type="dxa"/>
              <w:end w:w="110" w:type="dxa"/>
            </w:tcMar>
          </w:tcPr>
          <w:p>
            <w:pPr>
              <w:spacing w:after="0" w:before="0"/>
              <w:jc w:val="left"/>
            </w:pPr>
            <w:r/>
            <w:r>
              <w:rPr>
                <w:rFonts w:ascii="Aptos" w:hAnsi="Aptos"/>
                <w:b w:val="0"/>
                <w:sz w:val="16"/>
              </w:rPr>
              <w:t>Document Control; Training; CAPA; NC; Complaints; Audits; Supplier Quality; Management Review</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15%-30% reduction in eligible administrative/drafting time (model assumption)</w:t>
            </w:r>
          </w:p>
        </w:tc>
      </w:tr>
      <w:tr>
        <w:trPr>
          <w:cantSplit/>
        </w:trPr>
        <w:tc>
          <w:tcPr>
            <w:tcW w:type="dxa" w:w="1440"/>
            <w:vAlign w:val="center"/>
            <w:tcMar>
              <w:top w:w="100" w:type="dxa"/>
              <w:start w:w="110" w:type="dxa"/>
              <w:bottom w:w="100" w:type="dxa"/>
              <w:end w:w="110" w:type="dxa"/>
            </w:tcMar>
          </w:tcPr>
          <w:p>
            <w:pPr>
              <w:spacing w:after="0" w:before="0"/>
              <w:jc w:val="left"/>
            </w:pPr>
            <w:r/>
            <w:r>
              <w:rPr>
                <w:rFonts w:ascii="Aptos" w:hAnsi="Aptos"/>
                <w:b w:val="0"/>
                <w:sz w:val="16"/>
              </w:rPr>
              <w:t>RegulatoryOS</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Available</w:t>
            </w:r>
          </w:p>
        </w:tc>
        <w:tc>
          <w:tcPr>
            <w:tcW w:type="dxa" w:w="5616"/>
            <w:vAlign w:val="center"/>
            <w:tcMar>
              <w:top w:w="100" w:type="dxa"/>
              <w:start w:w="110" w:type="dxa"/>
              <w:bottom w:w="100" w:type="dxa"/>
              <w:end w:w="110" w:type="dxa"/>
            </w:tcMar>
          </w:tcPr>
          <w:p>
            <w:pPr>
              <w:spacing w:after="0" w:before="0"/>
              <w:jc w:val="left"/>
            </w:pPr>
            <w:r/>
            <w:r>
              <w:rPr>
                <w:rFonts w:ascii="Aptos" w:hAnsi="Aptos"/>
                <w:b w:val="0"/>
                <w:sz w:val="16"/>
              </w:rPr>
              <w:t>Registrations; change assessment; submissions; dossier assembly; regulatory intelligence; labeling/UDI</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15%-30% of eligible tracking/research/drafting time (model assumption)</w:t>
            </w:r>
          </w:p>
        </w:tc>
      </w:tr>
      <w:tr>
        <w:trPr>
          <w:cantSplit/>
        </w:trPr>
        <w:tc>
          <w:tcPr>
            <w:tcW w:type="dxa" w:w="1440"/>
            <w:vAlign w:val="center"/>
            <w:tcMar>
              <w:top w:w="100" w:type="dxa"/>
              <w:start w:w="110" w:type="dxa"/>
              <w:bottom w:w="100" w:type="dxa"/>
              <w:end w:w="110" w:type="dxa"/>
            </w:tcMar>
          </w:tcPr>
          <w:p>
            <w:pPr>
              <w:spacing w:after="0" w:before="0"/>
              <w:jc w:val="left"/>
            </w:pPr>
            <w:r/>
            <w:r>
              <w:rPr>
                <w:rFonts w:ascii="Aptos" w:hAnsi="Aptos"/>
                <w:b w:val="0"/>
                <w:sz w:val="16"/>
              </w:rPr>
              <w:t>DeviceOS</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Available</w:t>
            </w:r>
          </w:p>
        </w:tc>
        <w:tc>
          <w:tcPr>
            <w:tcW w:type="dxa" w:w="5616"/>
            <w:vAlign w:val="center"/>
            <w:tcMar>
              <w:top w:w="100" w:type="dxa"/>
              <w:start w:w="110" w:type="dxa"/>
              <w:bottom w:w="100" w:type="dxa"/>
              <w:end w:w="110" w:type="dxa"/>
            </w:tcMar>
          </w:tcPr>
          <w:p>
            <w:pPr>
              <w:spacing w:after="0" w:before="0"/>
              <w:jc w:val="left"/>
            </w:pPr>
            <w:r/>
            <w:r>
              <w:rPr>
                <w:rFonts w:ascii="Aptos" w:hAnsi="Aptos"/>
                <w:b w:val="0"/>
                <w:sz w:val="16"/>
              </w:rPr>
              <w:t>QualityOS + RegulatoryOS on shared data, identity and audit trail</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20%-35% of eligible cross-functional administrative time (model assumption; do not add a separate duplication benefit on top)</w:t>
            </w:r>
          </w:p>
        </w:tc>
      </w:tr>
      <w:tr>
        <w:trPr>
          <w:cantSplit/>
        </w:trPr>
        <w:tc>
          <w:tcPr>
            <w:tcW w:type="dxa" w:w="1440"/>
            <w:vAlign w:val="center"/>
            <w:tcMar>
              <w:top w:w="100" w:type="dxa"/>
              <w:start w:w="110" w:type="dxa"/>
              <w:bottom w:w="100" w:type="dxa"/>
              <w:end w:w="110" w:type="dxa"/>
            </w:tcMar>
          </w:tcPr>
          <w:p>
            <w:pPr>
              <w:spacing w:after="0" w:before="0"/>
              <w:jc w:val="left"/>
            </w:pPr>
            <w:r/>
            <w:r>
              <w:rPr>
                <w:rFonts w:ascii="Aptos" w:hAnsi="Aptos"/>
                <w:b w:val="0"/>
                <w:sz w:val="16"/>
              </w:rPr>
              <w:t>ClinicalOS</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Early access</w:t>
            </w:r>
          </w:p>
        </w:tc>
        <w:tc>
          <w:tcPr>
            <w:tcW w:type="dxa" w:w="5616"/>
            <w:vAlign w:val="center"/>
            <w:tcMar>
              <w:top w:w="100" w:type="dxa"/>
              <w:start w:w="110" w:type="dxa"/>
              <w:bottom w:w="100" w:type="dxa"/>
              <w:end w:w="110" w:type="dxa"/>
            </w:tcMar>
          </w:tcPr>
          <w:p>
            <w:pPr>
              <w:spacing w:after="0" w:before="0"/>
              <w:jc w:val="left"/>
            </w:pPr>
            <w:r/>
            <w:r>
              <w:rPr>
                <w:rFonts w:ascii="Aptos" w:hAnsi="Aptos"/>
                <w:b w:val="0"/>
                <w:sz w:val="16"/>
              </w:rPr>
              <w:t>Protocol Builder; EDC; CTMS; eTMF; eConsent/ePRO rollout; site portal; deterministic analysis foundation</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20%-40% for suitable data-entry, drafting and coordination tasks (model assumption informed by EDC evidence)</w:t>
            </w:r>
          </w:p>
        </w:tc>
      </w:tr>
      <w:tr>
        <w:trPr>
          <w:cantSplit/>
        </w:trPr>
        <w:tc>
          <w:tcPr>
            <w:tcW w:type="dxa" w:w="1440"/>
            <w:vAlign w:val="center"/>
            <w:tcMar>
              <w:top w:w="100" w:type="dxa"/>
              <w:start w:w="110" w:type="dxa"/>
              <w:bottom w:w="100" w:type="dxa"/>
              <w:end w:w="110" w:type="dxa"/>
            </w:tcMar>
          </w:tcPr>
          <w:p>
            <w:pPr>
              <w:spacing w:after="0" w:before="0"/>
              <w:jc w:val="left"/>
            </w:pPr>
            <w:r/>
            <w:r>
              <w:rPr>
                <w:rFonts w:ascii="Aptos" w:hAnsi="Aptos"/>
                <w:b w:val="0"/>
                <w:sz w:val="16"/>
              </w:rPr>
              <w:t>EvidenceOS</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Early access</w:t>
            </w:r>
          </w:p>
        </w:tc>
        <w:tc>
          <w:tcPr>
            <w:tcW w:type="dxa" w:w="5616"/>
            <w:vAlign w:val="center"/>
            <w:tcMar>
              <w:top w:w="100" w:type="dxa"/>
              <w:start w:w="110" w:type="dxa"/>
              <w:bottom w:w="100" w:type="dxa"/>
              <w:end w:w="110" w:type="dxa"/>
            </w:tcMar>
          </w:tcPr>
          <w:p>
            <w:pPr>
              <w:spacing w:after="0" w:before="0"/>
              <w:jc w:val="left"/>
            </w:pPr>
            <w:r/>
            <w:r>
              <w:rPr>
                <w:rFonts w:ascii="Aptos" w:hAnsi="Aptos"/>
                <w:b w:val="0"/>
                <w:sz w:val="16"/>
              </w:rPr>
              <w:t>Registry engine; spine specialty pack; outcomes; device/radiographic endpoints; evidence outputs</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20%-35% for suitable registry/reporting tasks (model assumption)</w:t>
            </w:r>
          </w:p>
        </w:tc>
      </w:tr>
      <w:tr>
        <w:trPr>
          <w:cantSplit/>
        </w:trPr>
        <w:tc>
          <w:tcPr>
            <w:tcW w:type="dxa" w:w="1440"/>
            <w:vAlign w:val="center"/>
            <w:tcMar>
              <w:top w:w="100" w:type="dxa"/>
              <w:start w:w="110" w:type="dxa"/>
              <w:bottom w:w="100" w:type="dxa"/>
              <w:end w:w="110" w:type="dxa"/>
            </w:tcMar>
          </w:tcPr>
          <w:p>
            <w:pPr>
              <w:spacing w:after="0" w:before="0"/>
              <w:jc w:val="left"/>
            </w:pPr>
            <w:r/>
            <w:r>
              <w:rPr>
                <w:rFonts w:ascii="Aptos" w:hAnsi="Aptos"/>
                <w:b w:val="0"/>
                <w:sz w:val="16"/>
              </w:rPr>
              <w:t>StudyOS</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Roadmap</w:t>
            </w:r>
          </w:p>
        </w:tc>
        <w:tc>
          <w:tcPr>
            <w:tcW w:type="dxa" w:w="5616"/>
            <w:vAlign w:val="center"/>
            <w:tcMar>
              <w:top w:w="100" w:type="dxa"/>
              <w:start w:w="110" w:type="dxa"/>
              <w:bottom w:w="100" w:type="dxa"/>
              <w:end w:w="110" w:type="dxa"/>
            </w:tcMar>
          </w:tcPr>
          <w:p>
            <w:pPr>
              <w:spacing w:after="0" w:before="0"/>
              <w:jc w:val="left"/>
            </w:pPr>
            <w:r/>
            <w:r>
              <w:rPr>
                <w:rFonts w:ascii="Aptos" w:hAnsi="Aptos"/>
                <w:b w:val="0"/>
                <w:sz w:val="16"/>
              </w:rPr>
              <w:t>Multi-sponsor operations, budgets, contracts, resources, monitoring and sponsor reporting</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Not quantified until product is operational and measured</w:t>
            </w:r>
          </w:p>
        </w:tc>
      </w:tr>
      <w:tr>
        <w:trPr>
          <w:cantSplit/>
        </w:trPr>
        <w:tc>
          <w:tcPr>
            <w:tcW w:type="dxa" w:w="1440"/>
            <w:vAlign w:val="center"/>
            <w:tcMar>
              <w:top w:w="100" w:type="dxa"/>
              <w:start w:w="110" w:type="dxa"/>
              <w:bottom w:w="100" w:type="dxa"/>
              <w:end w:w="110" w:type="dxa"/>
            </w:tcMar>
          </w:tcPr>
          <w:p>
            <w:pPr>
              <w:spacing w:after="0" w:before="0"/>
              <w:jc w:val="left"/>
            </w:pPr>
            <w:r/>
            <w:r>
              <w:rPr>
                <w:rFonts w:ascii="Aptos" w:hAnsi="Aptos"/>
                <w:b w:val="0"/>
                <w:sz w:val="16"/>
              </w:rPr>
              <w:t>TrademarkOS</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Available</w:t>
            </w:r>
          </w:p>
        </w:tc>
        <w:tc>
          <w:tcPr>
            <w:tcW w:type="dxa" w:w="5616"/>
            <w:vAlign w:val="center"/>
            <w:tcMar>
              <w:top w:w="100" w:type="dxa"/>
              <w:start w:w="110" w:type="dxa"/>
              <w:bottom w:w="100" w:type="dxa"/>
              <w:end w:w="110" w:type="dxa"/>
            </w:tcMar>
          </w:tcPr>
          <w:p>
            <w:pPr>
              <w:spacing w:after="0" w:before="0"/>
              <w:jc w:val="left"/>
            </w:pPr>
            <w:r/>
            <w:r>
              <w:rPr>
                <w:rFonts w:ascii="Aptos" w:hAnsi="Aptos"/>
                <w:b w:val="0"/>
                <w:sz w:val="16"/>
              </w:rPr>
              <w:t>Clearance screening; portfolio; monitoring; Office Action assistance; filing readiness</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15%-30% of eligible search/drafting/admin time (model assumption)</w:t>
            </w:r>
          </w:p>
        </w:tc>
      </w:tr>
    </w:tbl>
    <w:p>
      <w:pPr>
        <w:spacing w:after="40"/>
      </w:pPr>
    </w:p>
    <w:p>
      <w:pPr>
        <w:spacing w:after="140" w:line="269" w:lineRule="auto"/>
      </w:pPr>
      <w:r>
        <w:t>Source for product status and capability mapping: current Qevatrix application configuration reviewed August 24, 2026. Available products are QualityOS, RegulatoryOS, DeviceOS and TrademarkOS; ClinicalOS and EvidenceOS are early access; StudyOS is a roadmap product. The economic model does not treat roadmap functionality as an observed benefit.</w:t>
      </w:r>
    </w:p>
    <w:p>
      <w:pPr>
        <w:pStyle w:val="Heading1"/>
      </w:pPr>
      <w:r>
        <w:t>3. Methods and Evidence Search Strategy</w:t>
      </w:r>
    </w:p>
    <w:p>
      <w:pPr>
        <w:spacing w:after="140" w:line="269" w:lineRule="auto"/>
      </w:pPr>
      <w:r>
        <w:t>This report used a structured targeted evidence review rather than claiming a formal PRISMA systematic review. Searches emphasized peer-reviewed randomized studies, field experiments, observational studies, regulatory-science publications, and U.S. government compensation data. Search concepts included generative AI productivity, knowledge-work productivity, workflow automation, electronic case report forms, electronic data capture, EHR-to-EDC automation, registry data collection, and process automation. Evidence was selected for relevance to the mechanisms used by Qevatrix rather than because a publication evaluated Qevatrix itself.</w:t>
      </w:r>
    </w:p>
    <w:p>
      <w:pPr>
        <w:pStyle w:val="ListBullet"/>
      </w:pPr>
      <w:r>
        <w:t>Tier 1 evidence: randomized or controlled studies with direct productivity or time outcomes.</w:t>
      </w:r>
    </w:p>
    <w:p>
      <w:pPr>
        <w:pStyle w:val="ListBullet"/>
      </w:pPr>
      <w:r>
        <w:t>Tier 2 evidence: real-world field studies, crossover studies, operational evaluations and longitudinal case research.</w:t>
      </w:r>
    </w:p>
    <w:p>
      <w:pPr>
        <w:pStyle w:val="ListBullet"/>
      </w:pPr>
      <w:r>
        <w:t>Tier 3 evidence: government or respected institutional data used for economic assumptions.</w:t>
      </w:r>
    </w:p>
    <w:p>
      <w:pPr>
        <w:spacing w:after="140" w:line="269" w:lineRule="auto"/>
      </w:pPr>
      <w:r>
        <w:t>No external study identified in this review directly evaluates Qevatrix. All Qevatrix-specific savings and ROI figures are therefore modeled projections. Published studies support the general mechanisms, not the exact Qevatrix effect size.</w:t>
      </w:r>
    </w:p>
    <w:p>
      <w:pPr>
        <w:pStyle w:val="Heading1"/>
      </w:pPr>
      <w:r>
        <w:t>4. Evidence Review</w:t>
      </w:r>
    </w:p>
    <w:tbl>
      <w:tblPr>
        <w:tblStyle w:val="TableGrid"/>
        <w:tblW w:type="auto" w:w="0"/>
        <w:jc w:val="center"/>
        <w:tblLayout w:type="fixed"/>
        <w:tblLook w:firstColumn="1" w:firstRow="1" w:lastColumn="0" w:lastRow="0" w:noHBand="0" w:noVBand="1" w:val="04A0"/>
      </w:tblPr>
      <w:tblGrid>
        <w:gridCol w:w="1110"/>
        <w:gridCol w:w="1110"/>
        <w:gridCol w:w="1110"/>
        <w:gridCol w:w="1110"/>
        <w:gridCol w:w="1110"/>
        <w:gridCol w:w="1110"/>
        <w:gridCol w:w="1110"/>
        <w:gridCol w:w="1110"/>
        <w:gridCol w:w="1110"/>
      </w:tblGrid>
      <w:tr>
        <w:trPr>
          <w:tblHeader w:val="true"/>
          <w:cantSplit/>
        </w:trPr>
        <w:tc>
          <w:tcPr>
            <w:tcW w:type="dxa" w:w="1224"/>
            <w:vAlign w:val="center"/>
            <w:tcMar>
              <w:top w:w="100" w:type="dxa"/>
              <w:start w:w="110" w:type="dxa"/>
              <w:bottom w:w="100" w:type="dxa"/>
              <w:end w:w="110" w:type="dxa"/>
            </w:tcMar>
            <w:shd w:fill="18323D"/>
          </w:tcPr>
          <w:p>
            <w:pPr>
              <w:spacing w:after="0" w:before="0"/>
              <w:jc w:val="center"/>
            </w:pPr>
            <w:r/>
            <w:r>
              <w:rPr>
                <w:rFonts w:ascii="Aptos" w:hAnsi="Aptos"/>
                <w:b/>
                <w:color w:val="FFFFFF"/>
                <w:sz w:val="14"/>
              </w:rPr>
              <w:t>Study</w:t>
            </w:r>
          </w:p>
        </w:tc>
        <w:tc>
          <w:tcPr>
            <w:tcW w:type="dxa" w:w="547"/>
            <w:vAlign w:val="center"/>
            <w:tcMar>
              <w:top w:w="100" w:type="dxa"/>
              <w:start w:w="110" w:type="dxa"/>
              <w:bottom w:w="100" w:type="dxa"/>
              <w:end w:w="110" w:type="dxa"/>
            </w:tcMar>
            <w:shd w:fill="18323D"/>
          </w:tcPr>
          <w:p>
            <w:pPr>
              <w:spacing w:after="0" w:before="0"/>
              <w:jc w:val="center"/>
            </w:pPr>
            <w:r/>
            <w:r>
              <w:rPr>
                <w:rFonts w:ascii="Aptos" w:hAnsi="Aptos"/>
                <w:b/>
                <w:color w:val="FFFFFF"/>
                <w:sz w:val="14"/>
              </w:rPr>
              <w:t>Year</w:t>
            </w:r>
          </w:p>
        </w:tc>
        <w:tc>
          <w:tcPr>
            <w:tcW w:type="dxa" w:w="1512"/>
            <w:vAlign w:val="center"/>
            <w:tcMar>
              <w:top w:w="100" w:type="dxa"/>
              <w:start w:w="110" w:type="dxa"/>
              <w:bottom w:w="100" w:type="dxa"/>
              <w:end w:w="110" w:type="dxa"/>
            </w:tcMar>
            <w:shd w:fill="18323D"/>
          </w:tcPr>
          <w:p>
            <w:pPr>
              <w:spacing w:after="0" w:before="0"/>
              <w:jc w:val="center"/>
            </w:pPr>
            <w:r/>
            <w:r>
              <w:rPr>
                <w:rFonts w:ascii="Aptos" w:hAnsi="Aptos"/>
                <w:b/>
                <w:color w:val="FFFFFF"/>
                <w:sz w:val="14"/>
              </w:rPr>
              <w:t>Setting</w:t>
            </w:r>
          </w:p>
        </w:tc>
        <w:tc>
          <w:tcPr>
            <w:tcW w:type="dxa" w:w="1440"/>
            <w:vAlign w:val="center"/>
            <w:tcMar>
              <w:top w:w="100" w:type="dxa"/>
              <w:start w:w="110" w:type="dxa"/>
              <w:bottom w:w="100" w:type="dxa"/>
              <w:end w:w="110" w:type="dxa"/>
            </w:tcMar>
            <w:shd w:fill="18323D"/>
          </w:tcPr>
          <w:p>
            <w:pPr>
              <w:spacing w:after="0" w:before="0"/>
              <w:jc w:val="center"/>
            </w:pPr>
            <w:r/>
            <w:r>
              <w:rPr>
                <w:rFonts w:ascii="Aptos" w:hAnsi="Aptos"/>
                <w:b/>
                <w:color w:val="FFFFFF"/>
                <w:sz w:val="14"/>
              </w:rPr>
              <w:t>Intervention</w:t>
            </w:r>
          </w:p>
        </w:tc>
        <w:tc>
          <w:tcPr>
            <w:tcW w:type="dxa" w:w="1296"/>
            <w:vAlign w:val="center"/>
            <w:tcMar>
              <w:top w:w="100" w:type="dxa"/>
              <w:start w:w="110" w:type="dxa"/>
              <w:bottom w:w="100" w:type="dxa"/>
              <w:end w:w="110" w:type="dxa"/>
            </w:tcMar>
            <w:shd w:fill="18323D"/>
          </w:tcPr>
          <w:p>
            <w:pPr>
              <w:spacing w:after="0" w:before="0"/>
              <w:jc w:val="center"/>
            </w:pPr>
            <w:r/>
            <w:r>
              <w:rPr>
                <w:rFonts w:ascii="Aptos" w:hAnsi="Aptos"/>
                <w:b/>
                <w:color w:val="FFFFFF"/>
                <w:sz w:val="14"/>
              </w:rPr>
              <w:t>Design</w:t>
            </w:r>
          </w:p>
        </w:tc>
        <w:tc>
          <w:tcPr>
            <w:tcW w:type="dxa" w:w="1656"/>
            <w:vAlign w:val="center"/>
            <w:tcMar>
              <w:top w:w="100" w:type="dxa"/>
              <w:start w:w="110" w:type="dxa"/>
              <w:bottom w:w="100" w:type="dxa"/>
              <w:end w:w="110" w:type="dxa"/>
            </w:tcMar>
            <w:shd w:fill="18323D"/>
          </w:tcPr>
          <w:p>
            <w:pPr>
              <w:spacing w:after="0" w:before="0"/>
              <w:jc w:val="center"/>
            </w:pPr>
            <w:r/>
            <w:r>
              <w:rPr>
                <w:rFonts w:ascii="Aptos" w:hAnsi="Aptos"/>
                <w:b/>
                <w:color w:val="FFFFFF"/>
                <w:sz w:val="14"/>
              </w:rPr>
              <w:t>Productivity result</w:t>
            </w:r>
          </w:p>
        </w:tc>
        <w:tc>
          <w:tcPr>
            <w:tcW w:type="dxa" w:w="1512"/>
            <w:vAlign w:val="center"/>
            <w:tcMar>
              <w:top w:w="100" w:type="dxa"/>
              <w:start w:w="110" w:type="dxa"/>
              <w:bottom w:w="100" w:type="dxa"/>
              <w:end w:w="110" w:type="dxa"/>
            </w:tcMar>
            <w:shd w:fill="18323D"/>
          </w:tcPr>
          <w:p>
            <w:pPr>
              <w:spacing w:after="0" w:before="0"/>
              <w:jc w:val="center"/>
            </w:pPr>
            <w:r/>
            <w:r>
              <w:rPr>
                <w:rFonts w:ascii="Aptos" w:hAnsi="Aptos"/>
                <w:b/>
                <w:color w:val="FFFFFF"/>
                <w:sz w:val="14"/>
              </w:rPr>
              <w:t>Quality / finding</w:t>
            </w:r>
          </w:p>
        </w:tc>
        <w:tc>
          <w:tcPr>
            <w:tcW w:type="dxa" w:w="1512"/>
            <w:vAlign w:val="center"/>
            <w:tcMar>
              <w:top w:w="100" w:type="dxa"/>
              <w:start w:w="110" w:type="dxa"/>
              <w:bottom w:w="100" w:type="dxa"/>
              <w:end w:w="110" w:type="dxa"/>
            </w:tcMar>
            <w:shd w:fill="18323D"/>
          </w:tcPr>
          <w:p>
            <w:pPr>
              <w:spacing w:after="0" w:before="0"/>
              <w:jc w:val="center"/>
            </w:pPr>
            <w:r/>
            <w:r>
              <w:rPr>
                <w:rFonts w:ascii="Aptos" w:hAnsi="Aptos"/>
                <w:b/>
                <w:color w:val="FFFFFF"/>
                <w:sz w:val="14"/>
              </w:rPr>
              <w:t>Limitation</w:t>
            </w:r>
          </w:p>
        </w:tc>
        <w:tc>
          <w:tcPr>
            <w:tcW w:type="dxa" w:w="1512"/>
            <w:vAlign w:val="center"/>
            <w:tcMar>
              <w:top w:w="100" w:type="dxa"/>
              <w:start w:w="110" w:type="dxa"/>
              <w:bottom w:w="100" w:type="dxa"/>
              <w:end w:w="110" w:type="dxa"/>
            </w:tcMar>
            <w:shd w:fill="18323D"/>
          </w:tcPr>
          <w:p>
            <w:pPr>
              <w:spacing w:after="0" w:before="0"/>
              <w:jc w:val="center"/>
            </w:pPr>
            <w:r/>
            <w:r>
              <w:rPr>
                <w:rFonts w:ascii="Aptos" w:hAnsi="Aptos"/>
                <w:b/>
                <w:color w:val="FFFFFF"/>
                <w:sz w:val="14"/>
              </w:rPr>
              <w:t>Relevance</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4"/>
              </w:rPr>
              <w:t>Noy &amp; Zhang</w:t>
            </w:r>
          </w:p>
        </w:tc>
        <w:tc>
          <w:tcPr>
            <w:tcW w:type="dxa" w:w="547"/>
            <w:vAlign w:val="center"/>
            <w:tcMar>
              <w:top w:w="100" w:type="dxa"/>
              <w:start w:w="110" w:type="dxa"/>
              <w:bottom w:w="100" w:type="dxa"/>
              <w:end w:w="110" w:type="dxa"/>
            </w:tcMar>
          </w:tcPr>
          <w:p>
            <w:pPr>
              <w:spacing w:after="0" w:before="0"/>
              <w:jc w:val="left"/>
            </w:pPr>
            <w:r/>
            <w:r>
              <w:rPr>
                <w:rFonts w:ascii="Aptos" w:hAnsi="Aptos"/>
                <w:b w:val="0"/>
                <w:sz w:val="14"/>
              </w:rPr>
              <w:t>2023</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453 college-educated professionals</w:t>
            </w:r>
          </w:p>
        </w:tc>
        <w:tc>
          <w:tcPr>
            <w:tcW w:type="dxa" w:w="1440"/>
            <w:vAlign w:val="center"/>
            <w:tcMar>
              <w:top w:w="100" w:type="dxa"/>
              <w:start w:w="110" w:type="dxa"/>
              <w:bottom w:w="100" w:type="dxa"/>
              <w:end w:w="110" w:type="dxa"/>
            </w:tcMar>
          </w:tcPr>
          <w:p>
            <w:pPr>
              <w:spacing w:after="0" w:before="0"/>
              <w:jc w:val="left"/>
            </w:pPr>
            <w:r/>
            <w:r>
              <w:rPr>
                <w:rFonts w:ascii="Aptos" w:hAnsi="Aptos"/>
                <w:b w:val="0"/>
                <w:sz w:val="14"/>
              </w:rPr>
              <w:t>Generative AI for professional writing</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4"/>
              </w:rPr>
              <w:t>Pre-registered randomized experiment</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40% lower task time; 18% higher output quality</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Strong causal evidence for suitable writing tasks</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Online experimental setting; not med-device specific</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High for drafting/summarization mechanisms</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4"/>
              </w:rPr>
              <w:t>Brynjolfsson, Li &amp; Raymond</w:t>
            </w:r>
          </w:p>
        </w:tc>
        <w:tc>
          <w:tcPr>
            <w:tcW w:type="dxa" w:w="547"/>
            <w:vAlign w:val="center"/>
            <w:tcMar>
              <w:top w:w="100" w:type="dxa"/>
              <w:start w:w="110" w:type="dxa"/>
              <w:bottom w:w="100" w:type="dxa"/>
              <w:end w:w="110" w:type="dxa"/>
            </w:tcMar>
          </w:tcPr>
          <w:p>
            <w:pPr>
              <w:spacing w:after="0" w:before="0"/>
              <w:jc w:val="left"/>
            </w:pPr>
            <w:r/>
            <w:r>
              <w:rPr>
                <w:rFonts w:ascii="Aptos" w:hAnsi="Aptos"/>
                <w:b w:val="0"/>
                <w:sz w:val="14"/>
              </w:rPr>
              <w:t>2025</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5,172 customer-support agents</w:t>
            </w:r>
          </w:p>
        </w:tc>
        <w:tc>
          <w:tcPr>
            <w:tcW w:type="dxa" w:w="1440"/>
            <w:vAlign w:val="center"/>
            <w:tcMar>
              <w:top w:w="100" w:type="dxa"/>
              <w:start w:w="110" w:type="dxa"/>
              <w:bottom w:w="100" w:type="dxa"/>
              <w:end w:w="110" w:type="dxa"/>
            </w:tcMar>
          </w:tcPr>
          <w:p>
            <w:pPr>
              <w:spacing w:after="0" w:before="0"/>
              <w:jc w:val="left"/>
            </w:pPr>
            <w:r/>
            <w:r>
              <w:rPr>
                <w:rFonts w:ascii="Aptos" w:hAnsi="Aptos"/>
                <w:b w:val="0"/>
                <w:sz w:val="14"/>
              </w:rPr>
              <w:t>Generative AI conversational assistant</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4"/>
              </w:rPr>
              <w:t>Staggered workplace deployment / quasi-experimental</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15% higher issues resolved per hour on average</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Real-world deployment; heterogeneous effects</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Single company/occupation; expert gains smaller</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Moderate for AI-assisted workflow throughput</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4"/>
              </w:rPr>
              <w:t>Dell'Acqua et al.</w:t>
            </w:r>
          </w:p>
        </w:tc>
        <w:tc>
          <w:tcPr>
            <w:tcW w:type="dxa" w:w="547"/>
            <w:vAlign w:val="center"/>
            <w:tcMar>
              <w:top w:w="100" w:type="dxa"/>
              <w:start w:w="110" w:type="dxa"/>
              <w:bottom w:w="100" w:type="dxa"/>
              <w:end w:w="110" w:type="dxa"/>
            </w:tcMar>
          </w:tcPr>
          <w:p>
            <w:pPr>
              <w:spacing w:after="0" w:before="0"/>
              <w:jc w:val="left"/>
            </w:pPr>
            <w:r/>
            <w:r>
              <w:rPr>
                <w:rFonts w:ascii="Aptos" w:hAnsi="Aptos"/>
                <w:b w:val="0"/>
                <w:sz w:val="14"/>
              </w:rPr>
              <w:t>2026</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758 BCG consultants</w:t>
            </w:r>
          </w:p>
        </w:tc>
        <w:tc>
          <w:tcPr>
            <w:tcW w:type="dxa" w:w="1440"/>
            <w:vAlign w:val="center"/>
            <w:tcMar>
              <w:top w:w="100" w:type="dxa"/>
              <w:start w:w="110" w:type="dxa"/>
              <w:bottom w:w="100" w:type="dxa"/>
              <w:end w:w="110" w:type="dxa"/>
            </w:tcMar>
          </w:tcPr>
          <w:p>
            <w:pPr>
              <w:spacing w:after="0" w:before="0"/>
              <w:jc w:val="left"/>
            </w:pPr>
            <w:r/>
            <w:r>
              <w:rPr>
                <w:rFonts w:ascii="Aptos" w:hAnsi="Aptos"/>
                <w:b w:val="0"/>
                <w:sz w:val="14"/>
              </w:rPr>
              <w:t>GPT-4 on realistic consulting tasks</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4"/>
              </w:rPr>
              <w:t>Pre-registered randomized field experiment</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25.1% faster and 12.2% more tasks inside AI frontier; lower correctness outside frontier</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Strong evidence for both benefit and risk</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Tasks differ from RA/QA; frontier changes with models</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High for controlled human-in-the-loop design</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4"/>
              </w:rPr>
              <w:t>Amaya &amp; Holweg</w:t>
            </w:r>
          </w:p>
        </w:tc>
        <w:tc>
          <w:tcPr>
            <w:tcW w:type="dxa" w:w="547"/>
            <w:vAlign w:val="center"/>
            <w:tcMar>
              <w:top w:w="100" w:type="dxa"/>
              <w:start w:w="110" w:type="dxa"/>
              <w:bottom w:w="100" w:type="dxa"/>
              <w:end w:w="110" w:type="dxa"/>
            </w:tcMar>
          </w:tcPr>
          <w:p>
            <w:pPr>
              <w:spacing w:after="0" w:before="0"/>
              <w:jc w:val="left"/>
            </w:pPr>
            <w:r/>
            <w:r>
              <w:rPr>
                <w:rFonts w:ascii="Aptos" w:hAnsi="Aptos"/>
                <w:b w:val="0"/>
                <w:sz w:val="14"/>
              </w:rPr>
              <w:t>2024</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Multinational energy company, 4 business areas</w:t>
            </w:r>
          </w:p>
        </w:tc>
        <w:tc>
          <w:tcPr>
            <w:tcW w:type="dxa" w:w="1440"/>
            <w:vAlign w:val="center"/>
            <w:tcMar>
              <w:top w:w="100" w:type="dxa"/>
              <w:start w:w="110" w:type="dxa"/>
              <w:bottom w:w="100" w:type="dxa"/>
              <w:end w:w="110" w:type="dxa"/>
            </w:tcMar>
          </w:tcPr>
          <w:p>
            <w:pPr>
              <w:spacing w:after="0" w:before="0"/>
              <w:jc w:val="left"/>
            </w:pPr>
            <w:r/>
            <w:r>
              <w:rPr>
                <w:rFonts w:ascii="Aptos" w:hAnsi="Aptos"/>
                <w:b w:val="0"/>
                <w:sz w:val="14"/>
              </w:rPr>
              <w:t>ML and process automation</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4"/>
              </w:rPr>
              <w:t>Multiple-case longitudinal study</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Operational improvement depended on task fit and process redesign</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Strong organizational implementation insight</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Not a controlled effect-size study</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High for workflow re-engineering principles</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4"/>
              </w:rPr>
              <w:t>Fleischmann et al.</w:t>
            </w:r>
          </w:p>
        </w:tc>
        <w:tc>
          <w:tcPr>
            <w:tcW w:type="dxa" w:w="547"/>
            <w:vAlign w:val="center"/>
            <w:tcMar>
              <w:top w:w="100" w:type="dxa"/>
              <w:start w:w="110" w:type="dxa"/>
              <w:bottom w:w="100" w:type="dxa"/>
              <w:end w:w="110" w:type="dxa"/>
            </w:tcMar>
          </w:tcPr>
          <w:p>
            <w:pPr>
              <w:spacing w:after="0" w:before="0"/>
              <w:jc w:val="left"/>
            </w:pPr>
            <w:r/>
            <w:r>
              <w:rPr>
                <w:rFonts w:ascii="Aptos" w:hAnsi="Aptos"/>
                <w:b w:val="0"/>
                <w:sz w:val="14"/>
              </w:rPr>
              <w:t>2017</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Clinical trial participants and study nurses</w:t>
            </w:r>
          </w:p>
        </w:tc>
        <w:tc>
          <w:tcPr>
            <w:tcW w:type="dxa" w:w="1440"/>
            <w:vAlign w:val="center"/>
            <w:tcMar>
              <w:top w:w="100" w:type="dxa"/>
              <w:start w:w="110" w:type="dxa"/>
              <w:bottom w:w="100" w:type="dxa"/>
              <w:end w:w="110" w:type="dxa"/>
            </w:tcMar>
          </w:tcPr>
          <w:p>
            <w:pPr>
              <w:spacing w:after="0" w:before="0"/>
              <w:jc w:val="left"/>
            </w:pPr>
            <w:r/>
            <w:r>
              <w:rPr>
                <w:rFonts w:ascii="Aptos" w:hAnsi="Aptos"/>
                <w:b w:val="0"/>
                <w:sz w:val="14"/>
              </w:rPr>
              <w:t>eCRF vs paper CRF</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4"/>
              </w:rPr>
              <w:t>Randomized controlled parallel-group study</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8.29 vs 10.54 min; electronic faster; fewer errors</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Direct clinical data-capture comparison</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Small setting; specific forms</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High for ClinicalOS data-capture mechanisms</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4"/>
              </w:rPr>
              <w:t>Staziaki et al.</w:t>
            </w:r>
          </w:p>
        </w:tc>
        <w:tc>
          <w:tcPr>
            <w:tcW w:type="dxa" w:w="547"/>
            <w:vAlign w:val="center"/>
            <w:tcMar>
              <w:top w:w="100" w:type="dxa"/>
              <w:start w:w="110" w:type="dxa"/>
              <w:bottom w:w="100" w:type="dxa"/>
              <w:end w:w="110" w:type="dxa"/>
            </w:tcMar>
          </w:tcPr>
          <w:p>
            <w:pPr>
              <w:spacing w:after="0" w:before="0"/>
              <w:jc w:val="left"/>
            </w:pPr>
            <w:r/>
            <w:r>
              <w:rPr>
                <w:rFonts w:ascii="Aptos" w:hAnsi="Aptos"/>
                <w:b w:val="0"/>
                <w:sz w:val="14"/>
              </w:rPr>
              <w:t>2016</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61 registry patients / 122 observations</w:t>
            </w:r>
          </w:p>
        </w:tc>
        <w:tc>
          <w:tcPr>
            <w:tcW w:type="dxa" w:w="1440"/>
            <w:vAlign w:val="center"/>
            <w:tcMar>
              <w:top w:w="100" w:type="dxa"/>
              <w:start w:w="110" w:type="dxa"/>
              <w:bottom w:w="100" w:type="dxa"/>
              <w:end w:w="110" w:type="dxa"/>
            </w:tcMar>
          </w:tcPr>
          <w:p>
            <w:pPr>
              <w:spacing w:after="0" w:before="0"/>
              <w:jc w:val="left"/>
            </w:pPr>
            <w:r/>
            <w:r>
              <w:rPr>
                <w:rFonts w:ascii="Aptos" w:hAnsi="Aptos"/>
                <w:b w:val="0"/>
                <w:sz w:val="14"/>
              </w:rPr>
              <w:t>EDC vs Excel spreadsheet</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4"/>
              </w:rPr>
              <w:t>Crossover study</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22% faster data collection with EDC</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Direct spreadsheet comparison</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Single registry / small sample</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High for EvidenceOS registry mechanisms</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4"/>
              </w:rPr>
              <w:t>Cheng et al.</w:t>
            </w:r>
          </w:p>
        </w:tc>
        <w:tc>
          <w:tcPr>
            <w:tcW w:type="dxa" w:w="547"/>
            <w:vAlign w:val="center"/>
            <w:tcMar>
              <w:top w:w="100" w:type="dxa"/>
              <w:start w:w="110" w:type="dxa"/>
              <w:bottom w:w="100" w:type="dxa"/>
              <w:end w:w="110" w:type="dxa"/>
            </w:tcMar>
          </w:tcPr>
          <w:p>
            <w:pPr>
              <w:spacing w:after="0" w:before="0"/>
              <w:jc w:val="left"/>
            </w:pPr>
            <w:r/>
            <w:r>
              <w:rPr>
                <w:rFonts w:ascii="Aptos" w:hAnsi="Aptos"/>
                <w:b w:val="0"/>
                <w:sz w:val="14"/>
              </w:rPr>
              <w:t>2023</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40 clinical-trial participants</w:t>
            </w:r>
          </w:p>
        </w:tc>
        <w:tc>
          <w:tcPr>
            <w:tcW w:type="dxa" w:w="1440"/>
            <w:vAlign w:val="center"/>
            <w:tcMar>
              <w:top w:w="100" w:type="dxa"/>
              <w:start w:w="110" w:type="dxa"/>
              <w:bottom w:w="100" w:type="dxa"/>
              <w:end w:w="110" w:type="dxa"/>
            </w:tcMar>
          </w:tcPr>
          <w:p>
            <w:pPr>
              <w:spacing w:after="0" w:before="0"/>
              <w:jc w:val="left"/>
            </w:pPr>
            <w:r/>
            <w:r>
              <w:rPr>
                <w:rFonts w:ascii="Aptos" w:hAnsi="Aptos"/>
                <w:b w:val="0"/>
                <w:sz w:val="14"/>
              </w:rPr>
              <w:t>Automated EHR-to-eCRF transfer</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4"/>
              </w:rPr>
              <w:t>Empirical automation evaluation</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84% of coordinator values auto-populated; many discrepancies attributable to manual entry error</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Direct automation evidence</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Single institutional trial context</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High for ClinicalOS/EvidenceOS integration concept</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4"/>
              </w:rPr>
              <w:t>Cheng et al.</w:t>
            </w:r>
          </w:p>
        </w:tc>
        <w:tc>
          <w:tcPr>
            <w:tcW w:type="dxa" w:w="547"/>
            <w:vAlign w:val="center"/>
            <w:tcMar>
              <w:top w:w="100" w:type="dxa"/>
              <w:start w:w="110" w:type="dxa"/>
              <w:bottom w:w="100" w:type="dxa"/>
              <w:end w:w="110" w:type="dxa"/>
            </w:tcMar>
          </w:tcPr>
          <w:p>
            <w:pPr>
              <w:spacing w:after="0" w:before="0"/>
              <w:jc w:val="left"/>
            </w:pPr>
            <w:r/>
            <w:r>
              <w:rPr>
                <w:rFonts w:ascii="Aptos" w:hAnsi="Aptos"/>
                <w:b w:val="0"/>
                <w:sz w:val="14"/>
              </w:rPr>
              <w:t>2026</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20 participants at 2 receiving sites</w:t>
            </w:r>
          </w:p>
        </w:tc>
        <w:tc>
          <w:tcPr>
            <w:tcW w:type="dxa" w:w="1440"/>
            <w:vAlign w:val="center"/>
            <w:tcMar>
              <w:top w:w="100" w:type="dxa"/>
              <w:start w:w="110" w:type="dxa"/>
              <w:bottom w:w="100" w:type="dxa"/>
              <w:end w:w="110" w:type="dxa"/>
            </w:tcMar>
          </w:tcPr>
          <w:p>
            <w:pPr>
              <w:spacing w:after="0" w:before="0"/>
              <w:jc w:val="left"/>
            </w:pPr>
            <w:r/>
            <w:r>
              <w:rPr>
                <w:rFonts w:ascii="Aptos" w:hAnsi="Aptos"/>
                <w:b w:val="0"/>
                <w:sz w:val="14"/>
              </w:rPr>
              <w:t>Scaled automated EHR-to-CRF transfer</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4"/>
              </w:rPr>
              <w:t>Multisite evaluation</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Estimated 17 hours saved total / 51 min per participant; 764 persistent manual entry errors potentially prevented</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Recent multicenter evidence</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Setup effort required; narrow data-transfer domain</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High for automation economics in clinical data</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4"/>
              </w:rPr>
              <w:t>Yaegashi et al.</w:t>
            </w:r>
          </w:p>
        </w:tc>
        <w:tc>
          <w:tcPr>
            <w:tcW w:type="dxa" w:w="547"/>
            <w:vAlign w:val="center"/>
            <w:tcMar>
              <w:top w:w="100" w:type="dxa"/>
              <w:start w:w="110" w:type="dxa"/>
              <w:bottom w:w="100" w:type="dxa"/>
              <w:end w:w="110" w:type="dxa"/>
            </w:tcMar>
          </w:tcPr>
          <w:p>
            <w:pPr>
              <w:spacing w:after="0" w:before="0"/>
              <w:jc w:val="left"/>
            </w:pPr>
            <w:r/>
            <w:r>
              <w:rPr>
                <w:rFonts w:ascii="Aptos" w:hAnsi="Aptos"/>
                <w:b w:val="0"/>
                <w:sz w:val="14"/>
              </w:rPr>
              <w:t>2024</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Investigator-initiated oncology trial</w:t>
            </w:r>
          </w:p>
        </w:tc>
        <w:tc>
          <w:tcPr>
            <w:tcW w:type="dxa" w:w="1440"/>
            <w:vAlign w:val="center"/>
            <w:tcMar>
              <w:top w:w="100" w:type="dxa"/>
              <w:start w:w="110" w:type="dxa"/>
              <w:bottom w:w="100" w:type="dxa"/>
              <w:end w:w="110" w:type="dxa"/>
            </w:tcMar>
          </w:tcPr>
          <w:p>
            <w:pPr>
              <w:spacing w:after="0" w:before="0"/>
              <w:jc w:val="left"/>
            </w:pPr>
            <w:r/>
            <w:r>
              <w:rPr>
                <w:rFonts w:ascii="Aptos" w:hAnsi="Aptos"/>
                <w:b w:val="0"/>
                <w:sz w:val="14"/>
              </w:rPr>
              <w:t>eSource direct data capture</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4"/>
              </w:rPr>
              <w:t>Operational comparative study</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Earlier data finalization and reduced on-site SDV time in relevant settings</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Regulatory-science context</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Efficiency depends on study design and data volume</w:t>
            </w:r>
          </w:p>
        </w:tc>
        <w:tc>
          <w:tcPr>
            <w:tcW w:type="dxa" w:w="1512"/>
            <w:vAlign w:val="center"/>
            <w:tcMar>
              <w:top w:w="100" w:type="dxa"/>
              <w:start w:w="110" w:type="dxa"/>
              <w:bottom w:w="100" w:type="dxa"/>
              <w:end w:w="110" w:type="dxa"/>
            </w:tcMar>
          </w:tcPr>
          <w:p>
            <w:pPr>
              <w:spacing w:after="0" w:before="0"/>
              <w:jc w:val="left"/>
            </w:pPr>
            <w:r/>
            <w:r>
              <w:rPr>
                <w:rFonts w:ascii="Aptos" w:hAnsi="Aptos"/>
                <w:b w:val="0"/>
                <w:sz w:val="14"/>
              </w:rPr>
              <w:t>Moderate-high for ClinicalOS implementation model</w:t>
            </w:r>
          </w:p>
        </w:tc>
      </w:tr>
    </w:tbl>
    <w:p>
      <w:pPr>
        <w:spacing w:after="40"/>
      </w:pPr>
    </w:p>
    <w:p>
      <w:pPr>
        <w:pStyle w:val="Heading1"/>
      </w:pPr>
      <w:r>
        <w:t>5. What the Published Evidence Actually Supports</w:t>
      </w:r>
    </w:p>
    <w:p>
      <w:pPr>
        <w:pStyle w:val="Heading2"/>
      </w:pPr>
      <w:r>
        <w:t>5.1 Generative AI can accelerate suitable professional tasks</w:t>
      </w:r>
    </w:p>
    <w:p>
      <w:pPr>
        <w:spacing w:after="140" w:line="269" w:lineRule="auto"/>
      </w:pPr>
      <w:r>
        <w:t>Noy and Zhang (2023) provide strong causal evidence for writing-oriented knowledge work: participants using ChatGPT completed professional writing tasks in less time and achieved higher quality ratings. Dell’Acqua et al. (2026) similarly found large gains in realistic consulting tasks that fell within the AI capability frontier. These studies are relevant to Qevatrix functions such as first-draft creation, summarization, structured narrative preparation and information synthesis.</w:t>
      </w:r>
    </w:p>
    <w:p>
      <w:pPr>
        <w:pStyle w:val="Heading2"/>
      </w:pPr>
      <w:r>
        <w:t>5.2 Real-world gains are heterogeneous</w:t>
      </w:r>
    </w:p>
    <w:p>
      <w:pPr>
        <w:spacing w:after="140" w:line="269" w:lineRule="auto"/>
      </w:pPr>
      <w:r>
        <w:t>Brynjolfsson et al. (2025) found a 15% average productivity increase in a deployment to more than 5,000 customer-support agents, but the gain was not uniform. Less experienced workers benefited more, whereas experienced workers saw smaller speed gains and, in some measures, small quality declines. This is a reason to avoid a single “Qevatrix saves X%” claim across every role and workflow.</w:t>
      </w:r>
    </w:p>
    <w:p>
      <w:pPr>
        <w:pStyle w:val="Heading2"/>
      </w:pPr>
      <w:r>
        <w:t>5.3 Human review is a productivity control, not a weakness</w:t>
      </w:r>
    </w:p>
    <w:p>
      <w:pPr>
        <w:spacing w:after="140" w:line="269" w:lineRule="auto"/>
      </w:pPr>
      <w:r>
        <w:t>Dell’Acqua et al. (2026) found that AI use reduced correctness on a task intentionally placed outside the technology’s capability frontier. For a regulated platform, the implication is operational: AI should draft, summarize, flag and recommend; human experts should retain approval authority over reportability, CAPA conclusions, regulatory decisions, statistical conclusions and other high-impact judgments. Qevatrix’s documented human-in-the-loop design is consistent with this evidence.</w:t>
      </w:r>
    </w:p>
    <w:p>
      <w:pPr>
        <w:pStyle w:val="Heading2"/>
      </w:pPr>
      <w:r>
        <w:t>5.4 Integrated workflows can create value beyond individual AI prompts</w:t>
      </w:r>
    </w:p>
    <w:p>
      <w:pPr>
        <w:spacing w:after="140" w:line="269" w:lineRule="auto"/>
      </w:pPr>
      <w:r>
        <w:t>Amaya and Holweg (2024) found that sustained improvements in knowledge work depend on how technology is embedded in processes. Re-engineering adjacent workflow steps can produce larger operational improvements than automating one isolated task. This is especially relevant to Qevatrix because its potential value comes from linked records, routing, reminders, traceability and reusable data - not only from generative AI.</w:t>
      </w:r>
    </w:p>
    <w:p>
      <w:pPr>
        <w:pStyle w:val="Heading2"/>
      </w:pPr>
      <w:r>
        <w:t>5.5 Electronic clinical data workflows reduce duplication and transcription burden</w:t>
      </w:r>
    </w:p>
    <w:p>
      <w:pPr>
        <w:spacing w:after="140" w:line="269" w:lineRule="auto"/>
      </w:pPr>
      <w:r>
        <w:t>Clinical data research provides domain-specific evidence. Fleischmann et al. (2017) found electronic CRFs faster than paper and observed better data integrity. Staziaki et al. (2016) found EDC 22% faster than a spreadsheet in a registry crossover study. Cheng et al. (2023) showed that 84% of coordinator-entered values in one clinical-trial evaluation could be populated automatically from EHR data; Cheng et al. (2026) estimated 51 minutes of manual data-entry time saved per participant across two receiving sites after setup. These results support the logic of integrated ClinicalOS and EvidenceOS workflows while also showing that configuration effort and data suitability matter.</w:t>
      </w:r>
    </w:p>
    <w:p>
      <w:pPr>
        <w:pStyle w:val="Heading1"/>
      </w:pPr>
      <w:r>
        <w:t>6. Manual vs. Qevatrix Workflow Map</w:t>
      </w:r>
    </w:p>
    <w:tbl>
      <w:tblPr>
        <w:tblStyle w:val="TableGrid"/>
        <w:tblW w:type="auto" w:w="0"/>
        <w:jc w:val="center"/>
        <w:tblLayout w:type="fixed"/>
        <w:tblLook w:firstColumn="1" w:firstRow="1" w:lastColumn="0" w:lastRow="0" w:noHBand="0" w:noVBand="1" w:val="04A0"/>
      </w:tblPr>
      <w:tblGrid>
        <w:gridCol w:w="1999"/>
        <w:gridCol w:w="1999"/>
        <w:gridCol w:w="1999"/>
        <w:gridCol w:w="1999"/>
        <w:gridCol w:w="1999"/>
      </w:tblGrid>
      <w:tr>
        <w:trPr>
          <w:tblHeader w:val="true"/>
          <w:cantSplit/>
        </w:trPr>
        <w:tc>
          <w:tcPr>
            <w:tcW w:type="dxa" w:w="1656"/>
            <w:vAlign w:val="center"/>
            <w:tcMar>
              <w:top w:w="100" w:type="dxa"/>
              <w:start w:w="110" w:type="dxa"/>
              <w:bottom w:w="100" w:type="dxa"/>
              <w:end w:w="110" w:type="dxa"/>
            </w:tcMar>
            <w:shd w:fill="18323D"/>
          </w:tcPr>
          <w:p>
            <w:pPr>
              <w:spacing w:after="0" w:before="0"/>
              <w:jc w:val="center"/>
            </w:pPr>
            <w:r/>
            <w:r>
              <w:rPr>
                <w:rFonts w:ascii="Aptos" w:hAnsi="Aptos"/>
                <w:b/>
                <w:color w:val="FFFFFF"/>
                <w:sz w:val="15"/>
              </w:rPr>
              <w:t>Workflow</w:t>
            </w:r>
          </w:p>
        </w:tc>
        <w:tc>
          <w:tcPr>
            <w:tcW w:type="dxa" w:w="2520"/>
            <w:vAlign w:val="center"/>
            <w:tcMar>
              <w:top w:w="100" w:type="dxa"/>
              <w:start w:w="110" w:type="dxa"/>
              <w:bottom w:w="100" w:type="dxa"/>
              <w:end w:w="110" w:type="dxa"/>
            </w:tcMar>
            <w:shd w:fill="18323D"/>
          </w:tcPr>
          <w:p>
            <w:pPr>
              <w:spacing w:after="0" w:before="0"/>
              <w:jc w:val="center"/>
            </w:pPr>
            <w:r/>
            <w:r>
              <w:rPr>
                <w:rFonts w:ascii="Aptos" w:hAnsi="Aptos"/>
                <w:b/>
                <w:color w:val="FFFFFF"/>
                <w:sz w:val="15"/>
              </w:rPr>
              <w:t>Traditional manual process</w:t>
            </w:r>
          </w:p>
        </w:tc>
        <w:tc>
          <w:tcPr>
            <w:tcW w:type="dxa" w:w="2736"/>
            <w:vAlign w:val="center"/>
            <w:tcMar>
              <w:top w:w="100" w:type="dxa"/>
              <w:start w:w="110" w:type="dxa"/>
              <w:bottom w:w="100" w:type="dxa"/>
              <w:end w:w="110" w:type="dxa"/>
            </w:tcMar>
            <w:shd w:fill="18323D"/>
          </w:tcPr>
          <w:p>
            <w:pPr>
              <w:spacing w:after="0" w:before="0"/>
              <w:jc w:val="center"/>
            </w:pPr>
            <w:r/>
            <w:r>
              <w:rPr>
                <w:rFonts w:ascii="Aptos" w:hAnsi="Aptos"/>
                <w:b/>
                <w:color w:val="FFFFFF"/>
                <w:sz w:val="15"/>
              </w:rPr>
              <w:t>Qevatrix-assisted process</w:t>
            </w:r>
          </w:p>
        </w:tc>
        <w:tc>
          <w:tcPr>
            <w:tcW w:type="dxa" w:w="1728"/>
            <w:vAlign w:val="center"/>
            <w:tcMar>
              <w:top w:w="100" w:type="dxa"/>
              <w:start w:w="110" w:type="dxa"/>
              <w:bottom w:w="100" w:type="dxa"/>
              <w:end w:w="110" w:type="dxa"/>
            </w:tcMar>
            <w:shd w:fill="18323D"/>
          </w:tcPr>
          <w:p>
            <w:pPr>
              <w:spacing w:after="0" w:before="0"/>
              <w:jc w:val="center"/>
            </w:pPr>
            <w:r/>
            <w:r>
              <w:rPr>
                <w:rFonts w:ascii="Aptos" w:hAnsi="Aptos"/>
                <w:b/>
                <w:color w:val="FFFFFF"/>
                <w:sz w:val="15"/>
              </w:rPr>
              <w:t>Human review</w:t>
            </w:r>
          </w:p>
        </w:tc>
        <w:tc>
          <w:tcPr>
            <w:tcW w:type="dxa" w:w="2088"/>
            <w:vAlign w:val="center"/>
            <w:tcMar>
              <w:top w:w="100" w:type="dxa"/>
              <w:start w:w="110" w:type="dxa"/>
              <w:bottom w:w="100" w:type="dxa"/>
              <w:end w:w="110" w:type="dxa"/>
            </w:tcMar>
            <w:shd w:fill="18323D"/>
          </w:tcPr>
          <w:p>
            <w:pPr>
              <w:spacing w:after="0" w:before="0"/>
              <w:jc w:val="center"/>
            </w:pPr>
            <w:r/>
            <w:r>
              <w:rPr>
                <w:rFonts w:ascii="Aptos" w:hAnsi="Aptos"/>
                <w:b/>
                <w:color w:val="FFFFFF"/>
                <w:sz w:val="15"/>
              </w:rPr>
              <w:t>Time-saving mechanism</w:t>
            </w:r>
          </w:p>
        </w:tc>
      </w:tr>
      <w:tr>
        <w:trPr>
          <w:cantSplit/>
        </w:trPr>
        <w:tc>
          <w:tcPr>
            <w:tcW w:type="dxa" w:w="1656"/>
            <w:vAlign w:val="center"/>
            <w:tcMar>
              <w:top w:w="100" w:type="dxa"/>
              <w:start w:w="110" w:type="dxa"/>
              <w:bottom w:w="100" w:type="dxa"/>
              <w:end w:w="110" w:type="dxa"/>
            </w:tcMar>
          </w:tcPr>
          <w:p>
            <w:pPr>
              <w:spacing w:after="0" w:before="0"/>
              <w:jc w:val="left"/>
            </w:pPr>
            <w:r/>
            <w:r>
              <w:rPr>
                <w:rFonts w:ascii="Aptos" w:hAnsi="Aptos"/>
                <w:b w:val="0"/>
                <w:sz w:val="15"/>
              </w:rPr>
              <w:t>SOP / policy drafting</w:t>
            </w:r>
          </w:p>
        </w:tc>
        <w:tc>
          <w:tcPr>
            <w:tcW w:type="dxa" w:w="2520"/>
            <w:vAlign w:val="center"/>
            <w:tcMar>
              <w:top w:w="100" w:type="dxa"/>
              <w:start w:w="110" w:type="dxa"/>
              <w:bottom w:w="100" w:type="dxa"/>
              <w:end w:w="110" w:type="dxa"/>
            </w:tcMar>
          </w:tcPr>
          <w:p>
            <w:pPr>
              <w:spacing w:after="0" w:before="0"/>
              <w:jc w:val="left"/>
            </w:pPr>
            <w:r/>
            <w:r>
              <w:rPr>
                <w:rFonts w:ascii="Aptos" w:hAnsi="Aptos"/>
                <w:b w:val="0"/>
                <w:sz w:val="15"/>
              </w:rPr>
              <w:t>Blank-page drafting in Word; search prior SOPs; manually reconcile terminology</w:t>
            </w:r>
          </w:p>
        </w:tc>
        <w:tc>
          <w:tcPr>
            <w:tcW w:type="dxa" w:w="2736"/>
            <w:vAlign w:val="center"/>
            <w:tcMar>
              <w:top w:w="100" w:type="dxa"/>
              <w:start w:w="110" w:type="dxa"/>
              <w:bottom w:w="100" w:type="dxa"/>
              <w:end w:w="110" w:type="dxa"/>
            </w:tcMar>
          </w:tcPr>
          <w:p>
            <w:pPr>
              <w:spacing w:after="0" w:before="0"/>
              <w:jc w:val="left"/>
            </w:pPr>
            <w:r/>
            <w:r>
              <w:rPr>
                <w:rFonts w:ascii="Aptos" w:hAnsi="Aptos"/>
                <w:b w:val="0"/>
                <w:sz w:val="15"/>
              </w:rPr>
              <w:t>AI-assisted draft using controlled templates and existing records</w:t>
            </w:r>
          </w:p>
        </w:tc>
        <w:tc>
          <w:tcPr>
            <w:tcW w:type="dxa" w:w="1728"/>
            <w:vAlign w:val="center"/>
            <w:tcMar>
              <w:top w:w="100" w:type="dxa"/>
              <w:start w:w="110" w:type="dxa"/>
              <w:bottom w:w="100" w:type="dxa"/>
              <w:end w:w="110" w:type="dxa"/>
            </w:tcMar>
          </w:tcPr>
          <w:p>
            <w:pPr>
              <w:spacing w:after="0" w:before="0"/>
              <w:jc w:val="left"/>
            </w:pPr>
            <w:r/>
            <w:r>
              <w:rPr>
                <w:rFonts w:ascii="Aptos" w:hAnsi="Aptos"/>
                <w:b w:val="0"/>
                <w:sz w:val="15"/>
              </w:rPr>
              <w:t>Yes - author/reviewer/approver</w:t>
            </w:r>
          </w:p>
        </w:tc>
        <w:tc>
          <w:tcPr>
            <w:tcW w:type="dxa" w:w="2088"/>
            <w:vAlign w:val="center"/>
            <w:tcMar>
              <w:top w:w="100" w:type="dxa"/>
              <w:start w:w="110" w:type="dxa"/>
              <w:bottom w:w="100" w:type="dxa"/>
              <w:end w:w="110" w:type="dxa"/>
            </w:tcMar>
          </w:tcPr>
          <w:p>
            <w:pPr>
              <w:spacing w:after="0" w:before="0"/>
              <w:jc w:val="left"/>
            </w:pPr>
            <w:r/>
            <w:r>
              <w:rPr>
                <w:rFonts w:ascii="Aptos" w:hAnsi="Aptos"/>
                <w:b w:val="0"/>
                <w:sz w:val="15"/>
              </w:rPr>
              <w:t>Reduce first-draft and cross-reference effort</w:t>
            </w:r>
          </w:p>
        </w:tc>
      </w:tr>
      <w:tr>
        <w:trPr>
          <w:cantSplit/>
        </w:trPr>
        <w:tc>
          <w:tcPr>
            <w:tcW w:type="dxa" w:w="1656"/>
            <w:vAlign w:val="center"/>
            <w:tcMar>
              <w:top w:w="100" w:type="dxa"/>
              <w:start w:w="110" w:type="dxa"/>
              <w:bottom w:w="100" w:type="dxa"/>
              <w:end w:w="110" w:type="dxa"/>
            </w:tcMar>
          </w:tcPr>
          <w:p>
            <w:pPr>
              <w:spacing w:after="0" w:before="0"/>
              <w:jc w:val="left"/>
            </w:pPr>
            <w:r/>
            <w:r>
              <w:rPr>
                <w:rFonts w:ascii="Aptos" w:hAnsi="Aptos"/>
                <w:b w:val="0"/>
                <w:sz w:val="15"/>
              </w:rPr>
              <w:t>Document review / revision</w:t>
            </w:r>
          </w:p>
        </w:tc>
        <w:tc>
          <w:tcPr>
            <w:tcW w:type="dxa" w:w="2520"/>
            <w:vAlign w:val="center"/>
            <w:tcMar>
              <w:top w:w="100" w:type="dxa"/>
              <w:start w:w="110" w:type="dxa"/>
              <w:bottom w:w="100" w:type="dxa"/>
              <w:end w:w="110" w:type="dxa"/>
            </w:tcMar>
          </w:tcPr>
          <w:p>
            <w:pPr>
              <w:spacing w:after="0" w:before="0"/>
              <w:jc w:val="left"/>
            </w:pPr>
            <w:r/>
            <w:r>
              <w:rPr>
                <w:rFonts w:ascii="Aptos" w:hAnsi="Aptos"/>
                <w:b w:val="0"/>
                <w:sz w:val="15"/>
              </w:rPr>
              <w:t>Email review cycles, tracked copies, manual routing and reminders</w:t>
            </w:r>
          </w:p>
        </w:tc>
        <w:tc>
          <w:tcPr>
            <w:tcW w:type="dxa" w:w="2736"/>
            <w:vAlign w:val="center"/>
            <w:tcMar>
              <w:top w:w="100" w:type="dxa"/>
              <w:start w:w="110" w:type="dxa"/>
              <w:bottom w:w="100" w:type="dxa"/>
              <w:end w:w="110" w:type="dxa"/>
            </w:tcMar>
          </w:tcPr>
          <w:p>
            <w:pPr>
              <w:spacing w:after="0" w:before="0"/>
              <w:jc w:val="left"/>
            </w:pPr>
            <w:r/>
            <w:r>
              <w:rPr>
                <w:rFonts w:ascii="Aptos" w:hAnsi="Aptos"/>
                <w:b w:val="0"/>
                <w:sz w:val="15"/>
              </w:rPr>
              <w:t>Controlled revision, workflow routing, reminders, revision comparison</w:t>
            </w:r>
          </w:p>
        </w:tc>
        <w:tc>
          <w:tcPr>
            <w:tcW w:type="dxa" w:w="1728"/>
            <w:vAlign w:val="center"/>
            <w:tcMar>
              <w:top w:w="100" w:type="dxa"/>
              <w:start w:w="110" w:type="dxa"/>
              <w:bottom w:w="100" w:type="dxa"/>
              <w:end w:w="110" w:type="dxa"/>
            </w:tcMar>
          </w:tcPr>
          <w:p>
            <w:pPr>
              <w:spacing w:after="0" w:before="0"/>
              <w:jc w:val="left"/>
            </w:pPr>
            <w:r/>
            <w:r>
              <w:rPr>
                <w:rFonts w:ascii="Aptos" w:hAnsi="Aptos"/>
                <w:b w:val="0"/>
                <w:sz w:val="15"/>
              </w:rPr>
              <w:t>Yes - controlled approval</w:t>
            </w:r>
          </w:p>
        </w:tc>
        <w:tc>
          <w:tcPr>
            <w:tcW w:type="dxa" w:w="2088"/>
            <w:vAlign w:val="center"/>
            <w:tcMar>
              <w:top w:w="100" w:type="dxa"/>
              <w:start w:w="110" w:type="dxa"/>
              <w:bottom w:w="100" w:type="dxa"/>
              <w:end w:w="110" w:type="dxa"/>
            </w:tcMar>
          </w:tcPr>
          <w:p>
            <w:pPr>
              <w:spacing w:after="0" w:before="0"/>
              <w:jc w:val="left"/>
            </w:pPr>
            <w:r/>
            <w:r>
              <w:rPr>
                <w:rFonts w:ascii="Aptos" w:hAnsi="Aptos"/>
                <w:b w:val="0"/>
                <w:sz w:val="15"/>
              </w:rPr>
              <w:t>Reduce coordination and retrieval time</w:t>
            </w:r>
          </w:p>
        </w:tc>
      </w:tr>
      <w:tr>
        <w:trPr>
          <w:cantSplit/>
        </w:trPr>
        <w:tc>
          <w:tcPr>
            <w:tcW w:type="dxa" w:w="1656"/>
            <w:vAlign w:val="center"/>
            <w:tcMar>
              <w:top w:w="100" w:type="dxa"/>
              <w:start w:w="110" w:type="dxa"/>
              <w:bottom w:w="100" w:type="dxa"/>
              <w:end w:w="110" w:type="dxa"/>
            </w:tcMar>
          </w:tcPr>
          <w:p>
            <w:pPr>
              <w:spacing w:after="0" w:before="0"/>
              <w:jc w:val="left"/>
            </w:pPr>
            <w:r/>
            <w:r>
              <w:rPr>
                <w:rFonts w:ascii="Aptos" w:hAnsi="Aptos"/>
                <w:b w:val="0"/>
                <w:sz w:val="15"/>
              </w:rPr>
              <w:t>CAPA investigation preparation</w:t>
            </w:r>
          </w:p>
        </w:tc>
        <w:tc>
          <w:tcPr>
            <w:tcW w:type="dxa" w:w="2520"/>
            <w:vAlign w:val="center"/>
            <w:tcMar>
              <w:top w:w="100" w:type="dxa"/>
              <w:start w:w="110" w:type="dxa"/>
              <w:bottom w:w="100" w:type="dxa"/>
              <w:end w:w="110" w:type="dxa"/>
            </w:tcMar>
          </w:tcPr>
          <w:p>
            <w:pPr>
              <w:spacing w:after="0" w:before="0"/>
              <w:jc w:val="left"/>
            </w:pPr>
            <w:r/>
            <w:r>
              <w:rPr>
                <w:rFonts w:ascii="Aptos" w:hAnsi="Aptos"/>
                <w:b w:val="0"/>
                <w:sz w:val="15"/>
              </w:rPr>
              <w:t>Collect evidence across email/files; draft chronology and action plan manually</w:t>
            </w:r>
          </w:p>
        </w:tc>
        <w:tc>
          <w:tcPr>
            <w:tcW w:type="dxa" w:w="2736"/>
            <w:vAlign w:val="center"/>
            <w:tcMar>
              <w:top w:w="100" w:type="dxa"/>
              <w:start w:w="110" w:type="dxa"/>
              <w:bottom w:w="100" w:type="dxa"/>
              <w:end w:w="110" w:type="dxa"/>
            </w:tcMar>
          </w:tcPr>
          <w:p>
            <w:pPr>
              <w:spacing w:after="0" w:before="0"/>
              <w:jc w:val="left"/>
            </w:pPr>
            <w:r/>
            <w:r>
              <w:rPr>
                <w:rFonts w:ascii="Aptos" w:hAnsi="Aptos"/>
                <w:b w:val="0"/>
                <w:sz w:val="15"/>
              </w:rPr>
              <w:t>Linked records, AI summaries/hypotheses, structured tasks and due dates</w:t>
            </w:r>
          </w:p>
        </w:tc>
        <w:tc>
          <w:tcPr>
            <w:tcW w:type="dxa" w:w="1728"/>
            <w:vAlign w:val="center"/>
            <w:tcMar>
              <w:top w:w="100" w:type="dxa"/>
              <w:start w:w="110" w:type="dxa"/>
              <w:bottom w:w="100" w:type="dxa"/>
              <w:end w:w="110" w:type="dxa"/>
            </w:tcMar>
          </w:tcPr>
          <w:p>
            <w:pPr>
              <w:spacing w:after="0" w:before="0"/>
              <w:jc w:val="left"/>
            </w:pPr>
            <w:r/>
            <w:r>
              <w:rPr>
                <w:rFonts w:ascii="Aptos" w:hAnsi="Aptos"/>
                <w:b w:val="0"/>
                <w:sz w:val="15"/>
              </w:rPr>
              <w:t>Yes - investigation conclusions and closure</w:t>
            </w:r>
          </w:p>
        </w:tc>
        <w:tc>
          <w:tcPr>
            <w:tcW w:type="dxa" w:w="2088"/>
            <w:vAlign w:val="center"/>
            <w:tcMar>
              <w:top w:w="100" w:type="dxa"/>
              <w:start w:w="110" w:type="dxa"/>
              <w:bottom w:w="100" w:type="dxa"/>
              <w:end w:w="110" w:type="dxa"/>
            </w:tcMar>
          </w:tcPr>
          <w:p>
            <w:pPr>
              <w:spacing w:after="0" w:before="0"/>
              <w:jc w:val="left"/>
            </w:pPr>
            <w:r/>
            <w:r>
              <w:rPr>
                <w:rFonts w:ascii="Aptos" w:hAnsi="Aptos"/>
                <w:b w:val="0"/>
                <w:sz w:val="15"/>
              </w:rPr>
              <w:t>Reduce evidence assembly and drafting</w:t>
            </w:r>
          </w:p>
        </w:tc>
      </w:tr>
      <w:tr>
        <w:trPr>
          <w:cantSplit/>
        </w:trPr>
        <w:tc>
          <w:tcPr>
            <w:tcW w:type="dxa" w:w="1656"/>
            <w:vAlign w:val="center"/>
            <w:tcMar>
              <w:top w:w="100" w:type="dxa"/>
              <w:start w:w="110" w:type="dxa"/>
              <w:bottom w:w="100" w:type="dxa"/>
              <w:end w:w="110" w:type="dxa"/>
            </w:tcMar>
          </w:tcPr>
          <w:p>
            <w:pPr>
              <w:spacing w:after="0" w:before="0"/>
              <w:jc w:val="left"/>
            </w:pPr>
            <w:r/>
            <w:r>
              <w:rPr>
                <w:rFonts w:ascii="Aptos" w:hAnsi="Aptos"/>
                <w:b w:val="0"/>
                <w:sz w:val="15"/>
              </w:rPr>
              <w:t>Complaint review</w:t>
            </w:r>
          </w:p>
        </w:tc>
        <w:tc>
          <w:tcPr>
            <w:tcW w:type="dxa" w:w="2520"/>
            <w:vAlign w:val="center"/>
            <w:tcMar>
              <w:top w:w="100" w:type="dxa"/>
              <w:start w:w="110" w:type="dxa"/>
              <w:bottom w:w="100" w:type="dxa"/>
              <w:end w:w="110" w:type="dxa"/>
            </w:tcMar>
          </w:tcPr>
          <w:p>
            <w:pPr>
              <w:spacing w:after="0" w:before="0"/>
              <w:jc w:val="left"/>
            </w:pPr>
            <w:r/>
            <w:r>
              <w:rPr>
                <w:rFonts w:ascii="Aptos" w:hAnsi="Aptos"/>
                <w:b w:val="0"/>
                <w:sz w:val="15"/>
              </w:rPr>
              <w:t>Manual intake, product history lookup, reportability checklist, narrative drafting</w:t>
            </w:r>
          </w:p>
        </w:tc>
        <w:tc>
          <w:tcPr>
            <w:tcW w:type="dxa" w:w="2736"/>
            <w:vAlign w:val="center"/>
            <w:tcMar>
              <w:top w:w="100" w:type="dxa"/>
              <w:start w:w="110" w:type="dxa"/>
              <w:bottom w:w="100" w:type="dxa"/>
              <w:end w:w="110" w:type="dxa"/>
            </w:tcMar>
          </w:tcPr>
          <w:p>
            <w:pPr>
              <w:spacing w:after="0" w:before="0"/>
              <w:jc w:val="left"/>
            </w:pPr>
            <w:r/>
            <w:r>
              <w:rPr>
                <w:rFonts w:ascii="Aptos" w:hAnsi="Aptos"/>
                <w:b w:val="0"/>
                <w:sz w:val="15"/>
              </w:rPr>
              <w:t>Structured intake, linked device history, decision-support and summary drafting</w:t>
            </w:r>
          </w:p>
        </w:tc>
        <w:tc>
          <w:tcPr>
            <w:tcW w:type="dxa" w:w="1728"/>
            <w:vAlign w:val="center"/>
            <w:tcMar>
              <w:top w:w="100" w:type="dxa"/>
              <w:start w:w="110" w:type="dxa"/>
              <w:bottom w:w="100" w:type="dxa"/>
              <w:end w:w="110" w:type="dxa"/>
            </w:tcMar>
          </w:tcPr>
          <w:p>
            <w:pPr>
              <w:spacing w:after="0" w:before="0"/>
              <w:jc w:val="left"/>
            </w:pPr>
            <w:r/>
            <w:r>
              <w:rPr>
                <w:rFonts w:ascii="Aptos" w:hAnsi="Aptos"/>
                <w:b w:val="0"/>
                <w:sz w:val="15"/>
              </w:rPr>
              <w:t>Yes - final reportability decision</w:t>
            </w:r>
          </w:p>
        </w:tc>
        <w:tc>
          <w:tcPr>
            <w:tcW w:type="dxa" w:w="2088"/>
            <w:vAlign w:val="center"/>
            <w:tcMar>
              <w:top w:w="100" w:type="dxa"/>
              <w:start w:w="110" w:type="dxa"/>
              <w:bottom w:w="100" w:type="dxa"/>
              <w:end w:w="110" w:type="dxa"/>
            </w:tcMar>
          </w:tcPr>
          <w:p>
            <w:pPr>
              <w:spacing w:after="0" w:before="0"/>
              <w:jc w:val="left"/>
            </w:pPr>
            <w:r/>
            <w:r>
              <w:rPr>
                <w:rFonts w:ascii="Aptos" w:hAnsi="Aptos"/>
                <w:b w:val="0"/>
                <w:sz w:val="15"/>
              </w:rPr>
              <w:t>Reduce information retrieval and narrative preparation</w:t>
            </w:r>
          </w:p>
        </w:tc>
      </w:tr>
      <w:tr>
        <w:trPr>
          <w:cantSplit/>
        </w:trPr>
        <w:tc>
          <w:tcPr>
            <w:tcW w:type="dxa" w:w="1656"/>
            <w:vAlign w:val="center"/>
            <w:tcMar>
              <w:top w:w="100" w:type="dxa"/>
              <w:start w:w="110" w:type="dxa"/>
              <w:bottom w:w="100" w:type="dxa"/>
              <w:end w:w="110" w:type="dxa"/>
            </w:tcMar>
          </w:tcPr>
          <w:p>
            <w:pPr>
              <w:spacing w:after="0" w:before="0"/>
              <w:jc w:val="left"/>
            </w:pPr>
            <w:r/>
            <w:r>
              <w:rPr>
                <w:rFonts w:ascii="Aptos" w:hAnsi="Aptos"/>
                <w:b w:val="0"/>
                <w:sz w:val="15"/>
              </w:rPr>
              <w:t>Audit preparation</w:t>
            </w:r>
          </w:p>
        </w:tc>
        <w:tc>
          <w:tcPr>
            <w:tcW w:type="dxa" w:w="2520"/>
            <w:vAlign w:val="center"/>
            <w:tcMar>
              <w:top w:w="100" w:type="dxa"/>
              <w:start w:w="110" w:type="dxa"/>
              <w:bottom w:w="100" w:type="dxa"/>
              <w:end w:w="110" w:type="dxa"/>
            </w:tcMar>
          </w:tcPr>
          <w:p>
            <w:pPr>
              <w:spacing w:after="0" w:before="0"/>
              <w:jc w:val="left"/>
            </w:pPr>
            <w:r/>
            <w:r>
              <w:rPr>
                <w:rFonts w:ascii="Aptos" w:hAnsi="Aptos"/>
                <w:b w:val="0"/>
                <w:sz w:val="15"/>
              </w:rPr>
              <w:t>Build evidence folders from multiple systems; manually chase records</w:t>
            </w:r>
          </w:p>
        </w:tc>
        <w:tc>
          <w:tcPr>
            <w:tcW w:type="dxa" w:w="2736"/>
            <w:vAlign w:val="center"/>
            <w:tcMar>
              <w:top w:w="100" w:type="dxa"/>
              <w:start w:w="110" w:type="dxa"/>
              <w:bottom w:w="100" w:type="dxa"/>
              <w:end w:w="110" w:type="dxa"/>
            </w:tcMar>
          </w:tcPr>
          <w:p>
            <w:pPr>
              <w:spacing w:after="0" w:before="0"/>
              <w:jc w:val="left"/>
            </w:pPr>
            <w:r/>
            <w:r>
              <w:rPr>
                <w:rFonts w:ascii="Aptos" w:hAnsi="Aptos"/>
                <w:b w:val="0"/>
                <w:sz w:val="15"/>
              </w:rPr>
              <w:t>Live linked records, audit checklists, evidence packages and finding tracking</w:t>
            </w:r>
          </w:p>
        </w:tc>
        <w:tc>
          <w:tcPr>
            <w:tcW w:type="dxa" w:w="1728"/>
            <w:vAlign w:val="center"/>
            <w:tcMar>
              <w:top w:w="100" w:type="dxa"/>
              <w:start w:w="110" w:type="dxa"/>
              <w:bottom w:w="100" w:type="dxa"/>
              <w:end w:w="110" w:type="dxa"/>
            </w:tcMar>
          </w:tcPr>
          <w:p>
            <w:pPr>
              <w:spacing w:after="0" w:before="0"/>
              <w:jc w:val="left"/>
            </w:pPr>
            <w:r/>
            <w:r>
              <w:rPr>
                <w:rFonts w:ascii="Aptos" w:hAnsi="Aptos"/>
                <w:b w:val="0"/>
                <w:sz w:val="15"/>
              </w:rPr>
              <w:t>Yes - auditor judgment</w:t>
            </w:r>
          </w:p>
        </w:tc>
        <w:tc>
          <w:tcPr>
            <w:tcW w:type="dxa" w:w="2088"/>
            <w:vAlign w:val="center"/>
            <w:tcMar>
              <w:top w:w="100" w:type="dxa"/>
              <w:start w:w="110" w:type="dxa"/>
              <w:bottom w:w="100" w:type="dxa"/>
              <w:end w:w="110" w:type="dxa"/>
            </w:tcMar>
          </w:tcPr>
          <w:p>
            <w:pPr>
              <w:spacing w:after="0" w:before="0"/>
              <w:jc w:val="left"/>
            </w:pPr>
            <w:r/>
            <w:r>
              <w:rPr>
                <w:rFonts w:ascii="Aptos" w:hAnsi="Aptos"/>
                <w:b w:val="0"/>
                <w:sz w:val="15"/>
              </w:rPr>
              <w:t>Reduce evidence hunting and package assembly</w:t>
            </w:r>
          </w:p>
        </w:tc>
      </w:tr>
      <w:tr>
        <w:trPr>
          <w:cantSplit/>
        </w:trPr>
        <w:tc>
          <w:tcPr>
            <w:tcW w:type="dxa" w:w="1656"/>
            <w:vAlign w:val="center"/>
            <w:tcMar>
              <w:top w:w="100" w:type="dxa"/>
              <w:start w:w="110" w:type="dxa"/>
              <w:bottom w:w="100" w:type="dxa"/>
              <w:end w:w="110" w:type="dxa"/>
            </w:tcMar>
          </w:tcPr>
          <w:p>
            <w:pPr>
              <w:spacing w:after="0" w:before="0"/>
              <w:jc w:val="left"/>
            </w:pPr>
            <w:r/>
            <w:r>
              <w:rPr>
                <w:rFonts w:ascii="Aptos" w:hAnsi="Aptos"/>
                <w:b w:val="0"/>
                <w:sz w:val="15"/>
              </w:rPr>
              <w:t>Supplier qualification</w:t>
            </w:r>
          </w:p>
        </w:tc>
        <w:tc>
          <w:tcPr>
            <w:tcW w:type="dxa" w:w="2520"/>
            <w:vAlign w:val="center"/>
            <w:tcMar>
              <w:top w:w="100" w:type="dxa"/>
              <w:start w:w="110" w:type="dxa"/>
              <w:bottom w:w="100" w:type="dxa"/>
              <w:end w:w="110" w:type="dxa"/>
            </w:tcMar>
          </w:tcPr>
          <w:p>
            <w:pPr>
              <w:spacing w:after="0" w:before="0"/>
              <w:jc w:val="left"/>
            </w:pPr>
            <w:r/>
            <w:r>
              <w:rPr>
                <w:rFonts w:ascii="Aptos" w:hAnsi="Aptos"/>
                <w:b w:val="0"/>
                <w:sz w:val="15"/>
              </w:rPr>
              <w:t>Email questionnaires, manual spreadsheet scores, certificate tracking</w:t>
            </w:r>
          </w:p>
        </w:tc>
        <w:tc>
          <w:tcPr>
            <w:tcW w:type="dxa" w:w="2736"/>
            <w:vAlign w:val="center"/>
            <w:tcMar>
              <w:top w:w="100" w:type="dxa"/>
              <w:start w:w="110" w:type="dxa"/>
              <w:bottom w:w="100" w:type="dxa"/>
              <w:end w:w="110" w:type="dxa"/>
            </w:tcMar>
          </w:tcPr>
          <w:p>
            <w:pPr>
              <w:spacing w:after="0" w:before="0"/>
              <w:jc w:val="left"/>
            </w:pPr>
            <w:r/>
            <w:r>
              <w:rPr>
                <w:rFonts w:ascii="Aptos" w:hAnsi="Aptos"/>
                <w:b w:val="0"/>
                <w:sz w:val="15"/>
              </w:rPr>
              <w:t>Secure questionnaires, configurable scoring, alerts, audit linkage</w:t>
            </w:r>
          </w:p>
        </w:tc>
        <w:tc>
          <w:tcPr>
            <w:tcW w:type="dxa" w:w="1728"/>
            <w:vAlign w:val="center"/>
            <w:tcMar>
              <w:top w:w="100" w:type="dxa"/>
              <w:start w:w="110" w:type="dxa"/>
              <w:bottom w:w="100" w:type="dxa"/>
              <w:end w:w="110" w:type="dxa"/>
            </w:tcMar>
          </w:tcPr>
          <w:p>
            <w:pPr>
              <w:spacing w:after="0" w:before="0"/>
              <w:jc w:val="left"/>
            </w:pPr>
            <w:r/>
            <w:r>
              <w:rPr>
                <w:rFonts w:ascii="Aptos" w:hAnsi="Aptos"/>
                <w:b w:val="0"/>
                <w:sz w:val="15"/>
              </w:rPr>
              <w:t>Yes - approval and audit judgment</w:t>
            </w:r>
          </w:p>
        </w:tc>
        <w:tc>
          <w:tcPr>
            <w:tcW w:type="dxa" w:w="2088"/>
            <w:vAlign w:val="center"/>
            <w:tcMar>
              <w:top w:w="100" w:type="dxa"/>
              <w:start w:w="110" w:type="dxa"/>
              <w:bottom w:w="100" w:type="dxa"/>
              <w:end w:w="110" w:type="dxa"/>
            </w:tcMar>
          </w:tcPr>
          <w:p>
            <w:pPr>
              <w:spacing w:after="0" w:before="0"/>
              <w:jc w:val="left"/>
            </w:pPr>
            <w:r/>
            <w:r>
              <w:rPr>
                <w:rFonts w:ascii="Aptos" w:hAnsi="Aptos"/>
                <w:b w:val="0"/>
                <w:sz w:val="15"/>
              </w:rPr>
              <w:t>Reduce follow-up and scoring administration</w:t>
            </w:r>
          </w:p>
        </w:tc>
      </w:tr>
      <w:tr>
        <w:trPr>
          <w:cantSplit/>
        </w:trPr>
        <w:tc>
          <w:tcPr>
            <w:tcW w:type="dxa" w:w="1656"/>
            <w:vAlign w:val="center"/>
            <w:tcMar>
              <w:top w:w="100" w:type="dxa"/>
              <w:start w:w="110" w:type="dxa"/>
              <w:bottom w:w="100" w:type="dxa"/>
              <w:end w:w="110" w:type="dxa"/>
            </w:tcMar>
          </w:tcPr>
          <w:p>
            <w:pPr>
              <w:spacing w:after="0" w:before="0"/>
              <w:jc w:val="left"/>
            </w:pPr>
            <w:r/>
            <w:r>
              <w:rPr>
                <w:rFonts w:ascii="Aptos" w:hAnsi="Aptos"/>
                <w:b w:val="0"/>
                <w:sz w:val="15"/>
              </w:rPr>
              <w:t>Management Review</w:t>
            </w:r>
          </w:p>
        </w:tc>
        <w:tc>
          <w:tcPr>
            <w:tcW w:type="dxa" w:w="2520"/>
            <w:vAlign w:val="center"/>
            <w:tcMar>
              <w:top w:w="100" w:type="dxa"/>
              <w:start w:w="110" w:type="dxa"/>
              <w:bottom w:w="100" w:type="dxa"/>
              <w:end w:w="110" w:type="dxa"/>
            </w:tcMar>
          </w:tcPr>
          <w:p>
            <w:pPr>
              <w:spacing w:after="0" w:before="0"/>
              <w:jc w:val="left"/>
            </w:pPr>
            <w:r/>
            <w:r>
              <w:rPr>
                <w:rFonts w:ascii="Aptos" w:hAnsi="Aptos"/>
                <w:b w:val="0"/>
                <w:sz w:val="15"/>
              </w:rPr>
              <w:t>Manually export metrics and build slide/report package</w:t>
            </w:r>
          </w:p>
        </w:tc>
        <w:tc>
          <w:tcPr>
            <w:tcW w:type="dxa" w:w="2736"/>
            <w:vAlign w:val="center"/>
            <w:tcMar>
              <w:top w:w="100" w:type="dxa"/>
              <w:start w:w="110" w:type="dxa"/>
              <w:bottom w:w="100" w:type="dxa"/>
              <w:end w:w="110" w:type="dxa"/>
            </w:tcMar>
          </w:tcPr>
          <w:p>
            <w:pPr>
              <w:spacing w:after="0" w:before="0"/>
              <w:jc w:val="left"/>
            </w:pPr>
            <w:r/>
            <w:r>
              <w:rPr>
                <w:rFonts w:ascii="Aptos" w:hAnsi="Aptos"/>
                <w:b w:val="0"/>
                <w:sz w:val="15"/>
              </w:rPr>
              <w:t>Automatic assembly of QMS inputs, trends and action status</w:t>
            </w:r>
          </w:p>
        </w:tc>
        <w:tc>
          <w:tcPr>
            <w:tcW w:type="dxa" w:w="1728"/>
            <w:vAlign w:val="center"/>
            <w:tcMar>
              <w:top w:w="100" w:type="dxa"/>
              <w:start w:w="110" w:type="dxa"/>
              <w:bottom w:w="100" w:type="dxa"/>
              <w:end w:w="110" w:type="dxa"/>
            </w:tcMar>
          </w:tcPr>
          <w:p>
            <w:pPr>
              <w:spacing w:after="0" w:before="0"/>
              <w:jc w:val="left"/>
            </w:pPr>
            <w:r/>
            <w:r>
              <w:rPr>
                <w:rFonts w:ascii="Aptos" w:hAnsi="Aptos"/>
                <w:b w:val="0"/>
                <w:sz w:val="15"/>
              </w:rPr>
              <w:t>Yes - management decisions</w:t>
            </w:r>
          </w:p>
        </w:tc>
        <w:tc>
          <w:tcPr>
            <w:tcW w:type="dxa" w:w="2088"/>
            <w:vAlign w:val="center"/>
            <w:tcMar>
              <w:top w:w="100" w:type="dxa"/>
              <w:start w:w="110" w:type="dxa"/>
              <w:bottom w:w="100" w:type="dxa"/>
              <w:end w:w="110" w:type="dxa"/>
            </w:tcMar>
          </w:tcPr>
          <w:p>
            <w:pPr>
              <w:spacing w:after="0" w:before="0"/>
              <w:jc w:val="left"/>
            </w:pPr>
            <w:r/>
            <w:r>
              <w:rPr>
                <w:rFonts w:ascii="Aptos" w:hAnsi="Aptos"/>
                <w:b w:val="0"/>
                <w:sz w:val="15"/>
              </w:rPr>
              <w:t>Reduce data consolidation and report preparation</w:t>
            </w:r>
          </w:p>
        </w:tc>
      </w:tr>
      <w:tr>
        <w:trPr>
          <w:cantSplit/>
        </w:trPr>
        <w:tc>
          <w:tcPr>
            <w:tcW w:type="dxa" w:w="1656"/>
            <w:vAlign w:val="center"/>
            <w:tcMar>
              <w:top w:w="100" w:type="dxa"/>
              <w:start w:w="110" w:type="dxa"/>
              <w:bottom w:w="100" w:type="dxa"/>
              <w:end w:w="110" w:type="dxa"/>
            </w:tcMar>
          </w:tcPr>
          <w:p>
            <w:pPr>
              <w:spacing w:after="0" w:before="0"/>
              <w:jc w:val="left"/>
            </w:pPr>
            <w:r/>
            <w:r>
              <w:rPr>
                <w:rFonts w:ascii="Aptos" w:hAnsi="Aptos"/>
                <w:b w:val="0"/>
                <w:sz w:val="15"/>
              </w:rPr>
              <w:t>Regulatory research / monitoring</w:t>
            </w:r>
          </w:p>
        </w:tc>
        <w:tc>
          <w:tcPr>
            <w:tcW w:type="dxa" w:w="2520"/>
            <w:vAlign w:val="center"/>
            <w:tcMar>
              <w:top w:w="100" w:type="dxa"/>
              <w:start w:w="110" w:type="dxa"/>
              <w:bottom w:w="100" w:type="dxa"/>
              <w:end w:w="110" w:type="dxa"/>
            </w:tcMar>
          </w:tcPr>
          <w:p>
            <w:pPr>
              <w:spacing w:after="0" w:before="0"/>
              <w:jc w:val="left"/>
            </w:pPr>
            <w:r/>
            <w:r>
              <w:rPr>
                <w:rFonts w:ascii="Aptos" w:hAnsi="Aptos"/>
                <w:b w:val="0"/>
                <w:sz w:val="15"/>
              </w:rPr>
              <w:t>Periodic web searches, spreadsheet obligations, manual impact routing</w:t>
            </w:r>
          </w:p>
        </w:tc>
        <w:tc>
          <w:tcPr>
            <w:tcW w:type="dxa" w:w="2736"/>
            <w:vAlign w:val="center"/>
            <w:tcMar>
              <w:top w:w="100" w:type="dxa"/>
              <w:start w:w="110" w:type="dxa"/>
              <w:bottom w:w="100" w:type="dxa"/>
              <w:end w:w="110" w:type="dxa"/>
            </w:tcMar>
          </w:tcPr>
          <w:p>
            <w:pPr>
              <w:spacing w:after="0" w:before="0"/>
              <w:jc w:val="left"/>
            </w:pPr>
            <w:r/>
            <w:r>
              <w:rPr>
                <w:rFonts w:ascii="Aptos" w:hAnsi="Aptos"/>
                <w:b w:val="0"/>
                <w:sz w:val="15"/>
              </w:rPr>
              <w:t>Structured intelligence, alerts, assigned impact assessments and linked records</w:t>
            </w:r>
          </w:p>
        </w:tc>
        <w:tc>
          <w:tcPr>
            <w:tcW w:type="dxa" w:w="1728"/>
            <w:vAlign w:val="center"/>
            <w:tcMar>
              <w:top w:w="100" w:type="dxa"/>
              <w:start w:w="110" w:type="dxa"/>
              <w:bottom w:w="100" w:type="dxa"/>
              <w:end w:w="110" w:type="dxa"/>
            </w:tcMar>
          </w:tcPr>
          <w:p>
            <w:pPr>
              <w:spacing w:after="0" w:before="0"/>
              <w:jc w:val="left"/>
            </w:pPr>
            <w:r/>
            <w:r>
              <w:rPr>
                <w:rFonts w:ascii="Aptos" w:hAnsi="Aptos"/>
                <w:b w:val="0"/>
                <w:sz w:val="15"/>
              </w:rPr>
              <w:t>Yes - regulatory conclusions</w:t>
            </w:r>
          </w:p>
        </w:tc>
        <w:tc>
          <w:tcPr>
            <w:tcW w:type="dxa" w:w="2088"/>
            <w:vAlign w:val="center"/>
            <w:tcMar>
              <w:top w:w="100" w:type="dxa"/>
              <w:start w:w="110" w:type="dxa"/>
              <w:bottom w:w="100" w:type="dxa"/>
              <w:end w:w="110" w:type="dxa"/>
            </w:tcMar>
          </w:tcPr>
          <w:p>
            <w:pPr>
              <w:spacing w:after="0" w:before="0"/>
              <w:jc w:val="left"/>
            </w:pPr>
            <w:r/>
            <w:r>
              <w:rPr>
                <w:rFonts w:ascii="Aptos" w:hAnsi="Aptos"/>
                <w:b w:val="0"/>
                <w:sz w:val="15"/>
              </w:rPr>
              <w:t>Reduce repetitive search, tracking and routing</w:t>
            </w:r>
          </w:p>
        </w:tc>
      </w:tr>
      <w:tr>
        <w:trPr>
          <w:cantSplit/>
        </w:trPr>
        <w:tc>
          <w:tcPr>
            <w:tcW w:type="dxa" w:w="1656"/>
            <w:vAlign w:val="center"/>
            <w:tcMar>
              <w:top w:w="100" w:type="dxa"/>
              <w:start w:w="110" w:type="dxa"/>
              <w:bottom w:w="100" w:type="dxa"/>
              <w:end w:w="110" w:type="dxa"/>
            </w:tcMar>
          </w:tcPr>
          <w:p>
            <w:pPr>
              <w:spacing w:after="0" w:before="0"/>
              <w:jc w:val="left"/>
            </w:pPr>
            <w:r/>
            <w:r>
              <w:rPr>
                <w:rFonts w:ascii="Aptos" w:hAnsi="Aptos"/>
                <w:b w:val="0"/>
                <w:sz w:val="15"/>
              </w:rPr>
              <w:t>Submission / dossier assembly</w:t>
            </w:r>
          </w:p>
        </w:tc>
        <w:tc>
          <w:tcPr>
            <w:tcW w:type="dxa" w:w="2520"/>
            <w:vAlign w:val="center"/>
            <w:tcMar>
              <w:top w:w="100" w:type="dxa"/>
              <w:start w:w="110" w:type="dxa"/>
              <w:bottom w:w="100" w:type="dxa"/>
              <w:end w:w="110" w:type="dxa"/>
            </w:tcMar>
          </w:tcPr>
          <w:p>
            <w:pPr>
              <w:spacing w:after="0" w:before="0"/>
              <w:jc w:val="left"/>
            </w:pPr>
            <w:r/>
            <w:r>
              <w:rPr>
                <w:rFonts w:ascii="Aptos" w:hAnsi="Aptos"/>
                <w:b w:val="0"/>
                <w:sz w:val="15"/>
              </w:rPr>
              <w:t>Shared-drive collection, manual section ownership and repeated re-keying</w:t>
            </w:r>
          </w:p>
        </w:tc>
        <w:tc>
          <w:tcPr>
            <w:tcW w:type="dxa" w:w="2736"/>
            <w:vAlign w:val="center"/>
            <w:tcMar>
              <w:top w:w="100" w:type="dxa"/>
              <w:start w:w="110" w:type="dxa"/>
              <w:bottom w:w="100" w:type="dxa"/>
              <w:end w:w="110" w:type="dxa"/>
            </w:tcMar>
          </w:tcPr>
          <w:p>
            <w:pPr>
              <w:spacing w:after="0" w:before="0"/>
              <w:jc w:val="left"/>
            </w:pPr>
            <w:r/>
            <w:r>
              <w:rPr>
                <w:rFonts w:ascii="Aptos" w:hAnsi="Aptos"/>
                <w:b w:val="0"/>
                <w:sz w:val="15"/>
              </w:rPr>
              <w:t>Structured dossier, source links, section workflow and controlled exports</w:t>
            </w:r>
          </w:p>
        </w:tc>
        <w:tc>
          <w:tcPr>
            <w:tcW w:type="dxa" w:w="1728"/>
            <w:vAlign w:val="center"/>
            <w:tcMar>
              <w:top w:w="100" w:type="dxa"/>
              <w:start w:w="110" w:type="dxa"/>
              <w:bottom w:w="100" w:type="dxa"/>
              <w:end w:w="110" w:type="dxa"/>
            </w:tcMar>
          </w:tcPr>
          <w:p>
            <w:pPr>
              <w:spacing w:after="0" w:before="0"/>
              <w:jc w:val="left"/>
            </w:pPr>
            <w:r/>
            <w:r>
              <w:rPr>
                <w:rFonts w:ascii="Aptos" w:hAnsi="Aptos"/>
                <w:b w:val="0"/>
                <w:sz w:val="15"/>
              </w:rPr>
              <w:t>Yes - submission content approval</w:t>
            </w:r>
          </w:p>
        </w:tc>
        <w:tc>
          <w:tcPr>
            <w:tcW w:type="dxa" w:w="2088"/>
            <w:vAlign w:val="center"/>
            <w:tcMar>
              <w:top w:w="100" w:type="dxa"/>
              <w:start w:w="110" w:type="dxa"/>
              <w:bottom w:w="100" w:type="dxa"/>
              <w:end w:w="110" w:type="dxa"/>
            </w:tcMar>
          </w:tcPr>
          <w:p>
            <w:pPr>
              <w:spacing w:after="0" w:before="0"/>
              <w:jc w:val="left"/>
            </w:pPr>
            <w:r/>
            <w:r>
              <w:rPr>
                <w:rFonts w:ascii="Aptos" w:hAnsi="Aptos"/>
                <w:b w:val="0"/>
                <w:sz w:val="15"/>
              </w:rPr>
              <w:t>Reduce coordination and duplicate entry</w:t>
            </w:r>
          </w:p>
        </w:tc>
      </w:tr>
      <w:tr>
        <w:trPr>
          <w:cantSplit/>
        </w:trPr>
        <w:tc>
          <w:tcPr>
            <w:tcW w:type="dxa" w:w="1656"/>
            <w:vAlign w:val="center"/>
            <w:tcMar>
              <w:top w:w="100" w:type="dxa"/>
              <w:start w:w="110" w:type="dxa"/>
              <w:bottom w:w="100" w:type="dxa"/>
              <w:end w:w="110" w:type="dxa"/>
            </w:tcMar>
          </w:tcPr>
          <w:p>
            <w:pPr>
              <w:spacing w:after="0" w:before="0"/>
              <w:jc w:val="left"/>
            </w:pPr>
            <w:r/>
            <w:r>
              <w:rPr>
                <w:rFonts w:ascii="Aptos" w:hAnsi="Aptos"/>
                <w:b w:val="0"/>
                <w:sz w:val="15"/>
              </w:rPr>
              <w:t>Clinical data capture</w:t>
            </w:r>
          </w:p>
        </w:tc>
        <w:tc>
          <w:tcPr>
            <w:tcW w:type="dxa" w:w="2520"/>
            <w:vAlign w:val="center"/>
            <w:tcMar>
              <w:top w:w="100" w:type="dxa"/>
              <w:start w:w="110" w:type="dxa"/>
              <w:bottom w:w="100" w:type="dxa"/>
              <w:end w:w="110" w:type="dxa"/>
            </w:tcMar>
          </w:tcPr>
          <w:p>
            <w:pPr>
              <w:spacing w:after="0" w:before="0"/>
              <w:jc w:val="left"/>
            </w:pPr>
            <w:r/>
            <w:r>
              <w:rPr>
                <w:rFonts w:ascii="Aptos" w:hAnsi="Aptos"/>
                <w:b w:val="0"/>
                <w:sz w:val="15"/>
              </w:rPr>
              <w:t>Paper/manual transcription or duplicate EHR-to-EDC entry</w:t>
            </w:r>
          </w:p>
        </w:tc>
        <w:tc>
          <w:tcPr>
            <w:tcW w:type="dxa" w:w="2736"/>
            <w:vAlign w:val="center"/>
            <w:tcMar>
              <w:top w:w="100" w:type="dxa"/>
              <w:start w:w="110" w:type="dxa"/>
              <w:bottom w:w="100" w:type="dxa"/>
              <w:end w:w="110" w:type="dxa"/>
            </w:tcMar>
          </w:tcPr>
          <w:p>
            <w:pPr>
              <w:spacing w:after="0" w:before="0"/>
              <w:jc w:val="left"/>
            </w:pPr>
            <w:r/>
            <w:r>
              <w:rPr>
                <w:rFonts w:ascii="Aptos" w:hAnsi="Aptos"/>
                <w:b w:val="0"/>
                <w:sz w:val="15"/>
              </w:rPr>
              <w:t>Electronic capture and, where integrated, automated transfer / prepopulation</w:t>
            </w:r>
          </w:p>
        </w:tc>
        <w:tc>
          <w:tcPr>
            <w:tcW w:type="dxa" w:w="1728"/>
            <w:vAlign w:val="center"/>
            <w:tcMar>
              <w:top w:w="100" w:type="dxa"/>
              <w:start w:w="110" w:type="dxa"/>
              <w:bottom w:w="100" w:type="dxa"/>
              <w:end w:w="110" w:type="dxa"/>
            </w:tcMar>
          </w:tcPr>
          <w:p>
            <w:pPr>
              <w:spacing w:after="0" w:before="0"/>
              <w:jc w:val="left"/>
            </w:pPr>
            <w:r/>
            <w:r>
              <w:rPr>
                <w:rFonts w:ascii="Aptos" w:hAnsi="Aptos"/>
                <w:b w:val="0"/>
                <w:sz w:val="15"/>
              </w:rPr>
              <w:t>Yes - source verification and data review</w:t>
            </w:r>
          </w:p>
        </w:tc>
        <w:tc>
          <w:tcPr>
            <w:tcW w:type="dxa" w:w="2088"/>
            <w:vAlign w:val="center"/>
            <w:tcMar>
              <w:top w:w="100" w:type="dxa"/>
              <w:start w:w="110" w:type="dxa"/>
              <w:bottom w:w="100" w:type="dxa"/>
              <w:end w:w="110" w:type="dxa"/>
            </w:tcMar>
          </w:tcPr>
          <w:p>
            <w:pPr>
              <w:spacing w:after="0" w:before="0"/>
              <w:jc w:val="left"/>
            </w:pPr>
            <w:r/>
            <w:r>
              <w:rPr>
                <w:rFonts w:ascii="Aptos" w:hAnsi="Aptos"/>
                <w:b w:val="0"/>
                <w:sz w:val="15"/>
              </w:rPr>
              <w:t>Reduce transcription time and errors</w:t>
            </w:r>
          </w:p>
        </w:tc>
      </w:tr>
      <w:tr>
        <w:trPr>
          <w:cantSplit/>
        </w:trPr>
        <w:tc>
          <w:tcPr>
            <w:tcW w:type="dxa" w:w="1656"/>
            <w:vAlign w:val="center"/>
            <w:tcMar>
              <w:top w:w="100" w:type="dxa"/>
              <w:start w:w="110" w:type="dxa"/>
              <w:bottom w:w="100" w:type="dxa"/>
              <w:end w:w="110" w:type="dxa"/>
            </w:tcMar>
          </w:tcPr>
          <w:p>
            <w:pPr>
              <w:spacing w:after="0" w:before="0"/>
              <w:jc w:val="left"/>
            </w:pPr>
            <w:r/>
            <w:r>
              <w:rPr>
                <w:rFonts w:ascii="Aptos" w:hAnsi="Aptos"/>
                <w:b w:val="0"/>
                <w:sz w:val="15"/>
              </w:rPr>
              <w:t>Registry / RWE collection</w:t>
            </w:r>
          </w:p>
        </w:tc>
        <w:tc>
          <w:tcPr>
            <w:tcW w:type="dxa" w:w="2520"/>
            <w:vAlign w:val="center"/>
            <w:tcMar>
              <w:top w:w="100" w:type="dxa"/>
              <w:start w:w="110" w:type="dxa"/>
              <w:bottom w:w="100" w:type="dxa"/>
              <w:end w:w="110" w:type="dxa"/>
            </w:tcMar>
          </w:tcPr>
          <w:p>
            <w:pPr>
              <w:spacing w:after="0" w:before="0"/>
              <w:jc w:val="left"/>
            </w:pPr>
            <w:r/>
            <w:r>
              <w:rPr>
                <w:rFonts w:ascii="Aptos" w:hAnsi="Aptos"/>
                <w:b w:val="0"/>
                <w:sz w:val="15"/>
              </w:rPr>
              <w:t>Spreadsheet registry, repetitive manual consolidation and report rebuilding</w:t>
            </w:r>
          </w:p>
        </w:tc>
        <w:tc>
          <w:tcPr>
            <w:tcW w:type="dxa" w:w="2736"/>
            <w:vAlign w:val="center"/>
            <w:tcMar>
              <w:top w:w="100" w:type="dxa"/>
              <w:start w:w="110" w:type="dxa"/>
              <w:bottom w:w="100" w:type="dxa"/>
              <w:end w:w="110" w:type="dxa"/>
            </w:tcMar>
          </w:tcPr>
          <w:p>
            <w:pPr>
              <w:spacing w:after="0" w:before="0"/>
              <w:jc w:val="left"/>
            </w:pPr>
            <w:r/>
            <w:r>
              <w:rPr>
                <w:rFonts w:ascii="Aptos" w:hAnsi="Aptos"/>
                <w:b w:val="0"/>
                <w:sz w:val="15"/>
              </w:rPr>
              <w:t>Structured registry, reusable instruments, controlled exports and analytics</w:t>
            </w:r>
          </w:p>
        </w:tc>
        <w:tc>
          <w:tcPr>
            <w:tcW w:type="dxa" w:w="1728"/>
            <w:vAlign w:val="center"/>
            <w:tcMar>
              <w:top w:w="100" w:type="dxa"/>
              <w:start w:w="110" w:type="dxa"/>
              <w:bottom w:w="100" w:type="dxa"/>
              <w:end w:w="110" w:type="dxa"/>
            </w:tcMar>
          </w:tcPr>
          <w:p>
            <w:pPr>
              <w:spacing w:after="0" w:before="0"/>
              <w:jc w:val="left"/>
            </w:pPr>
            <w:r/>
            <w:r>
              <w:rPr>
                <w:rFonts w:ascii="Aptos" w:hAnsi="Aptos"/>
                <w:b w:val="0"/>
                <w:sz w:val="15"/>
              </w:rPr>
              <w:t>Yes - clinical interpretation</w:t>
            </w:r>
          </w:p>
        </w:tc>
        <w:tc>
          <w:tcPr>
            <w:tcW w:type="dxa" w:w="2088"/>
            <w:vAlign w:val="center"/>
            <w:tcMar>
              <w:top w:w="100" w:type="dxa"/>
              <w:start w:w="110" w:type="dxa"/>
              <w:bottom w:w="100" w:type="dxa"/>
              <w:end w:w="110" w:type="dxa"/>
            </w:tcMar>
          </w:tcPr>
          <w:p>
            <w:pPr>
              <w:spacing w:after="0" w:before="0"/>
              <w:jc w:val="left"/>
            </w:pPr>
            <w:r/>
            <w:r>
              <w:rPr>
                <w:rFonts w:ascii="Aptos" w:hAnsi="Aptos"/>
                <w:b w:val="0"/>
                <w:sz w:val="15"/>
              </w:rPr>
              <w:t>Reduce data-entry, consolidation and reporting effort</w:t>
            </w:r>
          </w:p>
        </w:tc>
      </w:tr>
      <w:tr>
        <w:trPr>
          <w:cantSplit/>
        </w:trPr>
        <w:tc>
          <w:tcPr>
            <w:tcW w:type="dxa" w:w="1656"/>
            <w:vAlign w:val="center"/>
            <w:tcMar>
              <w:top w:w="100" w:type="dxa"/>
              <w:start w:w="110" w:type="dxa"/>
              <w:bottom w:w="100" w:type="dxa"/>
              <w:end w:w="110" w:type="dxa"/>
            </w:tcMar>
          </w:tcPr>
          <w:p>
            <w:pPr>
              <w:spacing w:after="0" w:before="0"/>
              <w:jc w:val="left"/>
            </w:pPr>
            <w:r/>
            <w:r>
              <w:rPr>
                <w:rFonts w:ascii="Aptos" w:hAnsi="Aptos"/>
                <w:b w:val="0"/>
                <w:sz w:val="15"/>
              </w:rPr>
              <w:t>Trademark screening / monitoring</w:t>
            </w:r>
          </w:p>
        </w:tc>
        <w:tc>
          <w:tcPr>
            <w:tcW w:type="dxa" w:w="2520"/>
            <w:vAlign w:val="center"/>
            <w:tcMar>
              <w:top w:w="100" w:type="dxa"/>
              <w:start w:w="110" w:type="dxa"/>
              <w:bottom w:w="100" w:type="dxa"/>
              <w:end w:w="110" w:type="dxa"/>
            </w:tcMar>
          </w:tcPr>
          <w:p>
            <w:pPr>
              <w:spacing w:after="0" w:before="0"/>
              <w:jc w:val="left"/>
            </w:pPr>
            <w:r/>
            <w:r>
              <w:rPr>
                <w:rFonts w:ascii="Aptos" w:hAnsi="Aptos"/>
                <w:b w:val="0"/>
                <w:sz w:val="15"/>
              </w:rPr>
              <w:t>Manual search, docketing and repeated status checks</w:t>
            </w:r>
          </w:p>
        </w:tc>
        <w:tc>
          <w:tcPr>
            <w:tcW w:type="dxa" w:w="2736"/>
            <w:vAlign w:val="center"/>
            <w:tcMar>
              <w:top w:w="100" w:type="dxa"/>
              <w:start w:w="110" w:type="dxa"/>
              <w:bottom w:w="100" w:type="dxa"/>
              <w:end w:w="110" w:type="dxa"/>
            </w:tcMar>
          </w:tcPr>
          <w:p>
            <w:pPr>
              <w:spacing w:after="0" w:before="0"/>
              <w:jc w:val="left"/>
            </w:pPr>
            <w:r/>
            <w:r>
              <w:rPr>
                <w:rFonts w:ascii="Aptos" w:hAnsi="Aptos"/>
                <w:b w:val="0"/>
                <w:sz w:val="15"/>
              </w:rPr>
              <w:t>AI-assisted screening, portfolio monitoring, alerts and drafting support</w:t>
            </w:r>
          </w:p>
        </w:tc>
        <w:tc>
          <w:tcPr>
            <w:tcW w:type="dxa" w:w="1728"/>
            <w:vAlign w:val="center"/>
            <w:tcMar>
              <w:top w:w="100" w:type="dxa"/>
              <w:start w:w="110" w:type="dxa"/>
              <w:bottom w:w="100" w:type="dxa"/>
              <w:end w:w="110" w:type="dxa"/>
            </w:tcMar>
          </w:tcPr>
          <w:p>
            <w:pPr>
              <w:spacing w:after="0" w:before="0"/>
              <w:jc w:val="left"/>
            </w:pPr>
            <w:r/>
            <w:r>
              <w:rPr>
                <w:rFonts w:ascii="Aptos" w:hAnsi="Aptos"/>
                <w:b w:val="0"/>
                <w:sz w:val="15"/>
              </w:rPr>
              <w:t>Yes - legal judgment / filing decision</w:t>
            </w:r>
          </w:p>
        </w:tc>
        <w:tc>
          <w:tcPr>
            <w:tcW w:type="dxa" w:w="2088"/>
            <w:vAlign w:val="center"/>
            <w:tcMar>
              <w:top w:w="100" w:type="dxa"/>
              <w:start w:w="110" w:type="dxa"/>
              <w:bottom w:w="100" w:type="dxa"/>
              <w:end w:w="110" w:type="dxa"/>
            </w:tcMar>
          </w:tcPr>
          <w:p>
            <w:pPr>
              <w:spacing w:after="0" w:before="0"/>
              <w:jc w:val="left"/>
            </w:pPr>
            <w:r/>
            <w:r>
              <w:rPr>
                <w:rFonts w:ascii="Aptos" w:hAnsi="Aptos"/>
                <w:b w:val="0"/>
                <w:sz w:val="15"/>
              </w:rPr>
              <w:t>Reduce search and administrative monitoring effort</w:t>
            </w:r>
          </w:p>
        </w:tc>
      </w:tr>
    </w:tbl>
    <w:p>
      <w:pPr>
        <w:spacing w:after="40"/>
      </w:pPr>
    </w:p>
    <w:p>
      <w:pPr>
        <w:pStyle w:val="Heading1"/>
      </w:pPr>
      <w:r>
        <w:t>7. Application-by-Application Productivity Analysis</w:t>
      </w:r>
    </w:p>
    <w:p>
      <w:pPr>
        <w:pStyle w:val="Heading2"/>
      </w:pPr>
      <w:r>
        <w:t>7.1 QualityOS</w:t>
      </w:r>
    </w:p>
    <w:p>
      <w:pPr>
        <w:spacing w:after="140" w:line="269" w:lineRule="auto"/>
      </w:pPr>
      <w:r>
        <w:t>Current status: Available. Primary scope: Document Control; Training; CAPA; NC; Complaints; Audits; Supplier Quality; Management Review.</w:t>
      </w:r>
    </w:p>
    <w:p>
      <w:pPr>
        <w:spacing w:after="140" w:line="269" w:lineRule="auto"/>
      </w:pPr>
      <w:r>
        <w:t>Manual alternative: Manual routing, spreadsheets, email follow-up, document drafting, metric assembly.</w:t>
      </w:r>
    </w:p>
    <w:p>
      <w:pPr>
        <w:spacing w:after="140" w:line="269" w:lineRule="auto"/>
      </w:pPr>
      <w:r>
        <w:t>Primary productivity mechanism: AI drafting/summarization; automatic routing/reminders; linked records; analytics.</w:t>
      </w:r>
    </w:p>
    <w:p>
      <w:pPr>
        <w:spacing w:after="140" w:line="269" w:lineRule="auto"/>
      </w:pPr>
      <w:r>
        <w:t>Evidence-informed modeled range: 15%-30% reduction in eligible administrative/drafting time (model assumption). This is a Qevatrix economic-model assumption, not a measured customer outcome.</w:t>
      </w:r>
    </w:p>
    <w:p>
      <w:pPr>
        <w:spacing w:after="140" w:line="269" w:lineRule="auto"/>
      </w:pPr>
      <w:r>
        <w:t>Control / limitation: Human approval, complaint reportability, CAPA closure and regulated decisions remain controlled.</w:t>
      </w:r>
    </w:p>
    <w:p>
      <w:pPr>
        <w:pStyle w:val="Heading2"/>
      </w:pPr>
      <w:r>
        <w:t>7.2 RegulatoryOS</w:t>
      </w:r>
    </w:p>
    <w:p>
      <w:pPr>
        <w:spacing w:after="140" w:line="269" w:lineRule="auto"/>
      </w:pPr>
      <w:r>
        <w:t>Current status: Available. Primary scope: Registrations; change assessment; submissions; dossier assembly; regulatory intelligence; labeling/UDI.</w:t>
      </w:r>
    </w:p>
    <w:p>
      <w:pPr>
        <w:spacing w:after="140" w:line="269" w:lineRule="auto"/>
      </w:pPr>
      <w:r>
        <w:t>Manual alternative: Spreadsheets, recurring web research, shared-drive dossiers, duplicate data entry.</w:t>
      </w:r>
    </w:p>
    <w:p>
      <w:pPr>
        <w:spacing w:after="140" w:line="269" w:lineRule="auto"/>
      </w:pPr>
      <w:r>
        <w:t>Primary productivity mechanism: Alerts; linked product/market records; AI drafting; structured dossier workflows.</w:t>
      </w:r>
    </w:p>
    <w:p>
      <w:pPr>
        <w:spacing w:after="140" w:line="269" w:lineRule="auto"/>
      </w:pPr>
      <w:r>
        <w:t>Evidence-informed modeled range: 15%-30% of eligible tracking/research/drafting time (model assumption). This is a Qevatrix economic-model assumption, not a measured customer outcome.</w:t>
      </w:r>
    </w:p>
    <w:p>
      <w:pPr>
        <w:spacing w:after="140" w:line="269" w:lineRule="auto"/>
      </w:pPr>
      <w:r>
        <w:t>Control / limitation: Final regulatory conclusions and filings remain with qualified users.</w:t>
      </w:r>
    </w:p>
    <w:p>
      <w:pPr>
        <w:pStyle w:val="Heading2"/>
      </w:pPr>
      <w:r>
        <w:t>7.3 DeviceOS</w:t>
      </w:r>
    </w:p>
    <w:p>
      <w:pPr>
        <w:spacing w:after="140" w:line="269" w:lineRule="auto"/>
      </w:pPr>
      <w:r>
        <w:t>Current status: Available. Primary scope: QualityOS + RegulatoryOS on shared data, identity and audit trail.</w:t>
      </w:r>
    </w:p>
    <w:p>
      <w:pPr>
        <w:spacing w:after="140" w:line="269" w:lineRule="auto"/>
      </w:pPr>
      <w:r>
        <w:t>Manual alternative: Separate QMS/RIM tools and repeated product/document re-entry.</w:t>
      </w:r>
    </w:p>
    <w:p>
      <w:pPr>
        <w:spacing w:after="140" w:line="269" w:lineRule="auto"/>
      </w:pPr>
      <w:r>
        <w:t>Primary productivity mechanism: Cross-module reuse, shared product record, shared audit trail, cross-functional analytics.</w:t>
      </w:r>
    </w:p>
    <w:p>
      <w:pPr>
        <w:spacing w:after="140" w:line="269" w:lineRule="auto"/>
      </w:pPr>
      <w:r>
        <w:t>Evidence-informed modeled range: 20%-35% of eligible cross-functional administrative time (model assumption; do not add a separate duplication benefit on top). This is a Qevatrix economic-model assumption, not a measured customer outcome.</w:t>
      </w:r>
    </w:p>
    <w:p>
      <w:pPr>
        <w:spacing w:after="140" w:line="269" w:lineRule="auto"/>
      </w:pPr>
      <w:r>
        <w:t>Control / limitation: Same human controls as underlying QualityOS/RegulatoryOS workflows.</w:t>
      </w:r>
    </w:p>
    <w:p>
      <w:pPr>
        <w:pStyle w:val="Heading2"/>
      </w:pPr>
      <w:r>
        <w:t>7.4 ClinicalOS</w:t>
      </w:r>
    </w:p>
    <w:p>
      <w:pPr>
        <w:spacing w:after="140" w:line="269" w:lineRule="auto"/>
      </w:pPr>
      <w:r>
        <w:t>Current status: Early access. Primary scope: Protocol Builder; EDC; CTMS; eTMF; eConsent/ePRO rollout; site portal; deterministic analysis foundation.</w:t>
      </w:r>
    </w:p>
    <w:p>
      <w:pPr>
        <w:spacing w:after="140" w:line="269" w:lineRule="auto"/>
      </w:pPr>
      <w:r>
        <w:t>Manual alternative: Separate EDC/CTMS/eTMF, document handoffs, manual data entry and study administration.</w:t>
      </w:r>
    </w:p>
    <w:p>
      <w:pPr>
        <w:spacing w:after="140" w:line="269" w:lineRule="auto"/>
      </w:pPr>
      <w:r>
        <w:t>Primary productivity mechanism: Electronic capture, integrated study records, AI drafting and structured workflows.</w:t>
      </w:r>
    </w:p>
    <w:p>
      <w:pPr>
        <w:spacing w:after="140" w:line="269" w:lineRule="auto"/>
      </w:pPr>
      <w:r>
        <w:t>Evidence-informed modeled range: 20%-40% for suitable data-entry, drafting and coordination tasks (model assumption informed by EDC evidence). This is a Qevatrix economic-model assumption, not a measured customer outcome.</w:t>
      </w:r>
    </w:p>
    <w:p>
      <w:pPr>
        <w:spacing w:after="140" w:line="269" w:lineRule="auto"/>
      </w:pPr>
      <w:r>
        <w:t>Control / limitation: Statistics, database lock, protocol approval and clinical decisions remain controlled.</w:t>
      </w:r>
    </w:p>
    <w:p>
      <w:pPr>
        <w:pStyle w:val="Heading2"/>
      </w:pPr>
      <w:r>
        <w:t>7.5 EvidenceOS</w:t>
      </w:r>
    </w:p>
    <w:p>
      <w:pPr>
        <w:spacing w:after="140" w:line="269" w:lineRule="auto"/>
      </w:pPr>
      <w:r>
        <w:t>Current status: Early access. Primary scope: Registry engine; spine specialty pack; outcomes; device/radiographic endpoints; evidence outputs.</w:t>
      </w:r>
    </w:p>
    <w:p>
      <w:pPr>
        <w:spacing w:after="140" w:line="269" w:lineRule="auto"/>
      </w:pPr>
      <w:r>
        <w:t>Manual alternative: Excel registries, manual data consolidation, repeated PMS/PMCF report assembly.</w:t>
      </w:r>
    </w:p>
    <w:p>
      <w:pPr>
        <w:spacing w:after="140" w:line="269" w:lineRule="auto"/>
      </w:pPr>
      <w:r>
        <w:t>Primary productivity mechanism: Structured capture, reusable configurations, controlled exports, analytics and AI-assisted setup.</w:t>
      </w:r>
    </w:p>
    <w:p>
      <w:pPr>
        <w:spacing w:after="140" w:line="269" w:lineRule="auto"/>
      </w:pPr>
      <w:r>
        <w:t>Evidence-informed modeled range: 20%-35% for suitable registry/reporting tasks (model assumption). This is a Qevatrix economic-model assumption, not a measured customer outcome.</w:t>
      </w:r>
    </w:p>
    <w:p>
      <w:pPr>
        <w:spacing w:after="140" w:line="269" w:lineRule="auto"/>
      </w:pPr>
      <w:r>
        <w:t>Control / limitation: Clinical/safety conclusions remain human decisions.</w:t>
      </w:r>
    </w:p>
    <w:p>
      <w:pPr>
        <w:pStyle w:val="Heading2"/>
      </w:pPr>
      <w:r>
        <w:t>7.6 StudyOS</w:t>
      </w:r>
    </w:p>
    <w:p>
      <w:pPr>
        <w:spacing w:after="140" w:line="269" w:lineRule="auto"/>
      </w:pPr>
      <w:r>
        <w:t>Current status: Roadmap. Primary scope: Multi-sponsor operations, budgets, contracts, resources, monitoring and sponsor reporting.</w:t>
      </w:r>
    </w:p>
    <w:p>
      <w:pPr>
        <w:spacing w:after="140" w:line="269" w:lineRule="auto"/>
      </w:pPr>
      <w:r>
        <w:t>Manual alternative: Fragmented CRO operations across spreadsheets and point systems.</w:t>
      </w:r>
    </w:p>
    <w:p>
      <w:pPr>
        <w:spacing w:after="140" w:line="269" w:lineRule="auto"/>
      </w:pPr>
      <w:r>
        <w:t>Primary productivity mechanism: Planned integrated workflow and AI-assisted reporting.</w:t>
      </w:r>
    </w:p>
    <w:p>
      <w:pPr>
        <w:spacing w:after="140" w:line="269" w:lineRule="auto"/>
      </w:pPr>
      <w:r>
        <w:t>Evidence-informed modeled range: Not quantified until product is operational and measured. This is a Qevatrix economic-model assumption, not a measured customer outcome.</w:t>
      </w:r>
    </w:p>
    <w:p>
      <w:pPr>
        <w:spacing w:after="140" w:line="269" w:lineRule="auto"/>
      </w:pPr>
      <w:r>
        <w:t>Control / limitation: Roadmap product - no Qevatrix-specific ROI claim should be published yet.</w:t>
      </w:r>
    </w:p>
    <w:p>
      <w:pPr>
        <w:pStyle w:val="Heading2"/>
      </w:pPr>
      <w:r>
        <w:t>7.7 TrademarkOS</w:t>
      </w:r>
    </w:p>
    <w:p>
      <w:pPr>
        <w:spacing w:after="140" w:line="269" w:lineRule="auto"/>
      </w:pPr>
      <w:r>
        <w:t>Current status: Available. Primary scope: Clearance screening; portfolio; monitoring; Office Action assistance; filing readiness.</w:t>
      </w:r>
    </w:p>
    <w:p>
      <w:pPr>
        <w:spacing w:after="140" w:line="269" w:lineRule="auto"/>
      </w:pPr>
      <w:r>
        <w:t>Manual alternative: Manual search/status monitoring, docketing and drafting.</w:t>
      </w:r>
    </w:p>
    <w:p>
      <w:pPr>
        <w:spacing w:after="140" w:line="269" w:lineRule="auto"/>
      </w:pPr>
      <w:r>
        <w:t>Primary productivity mechanism: AI screening/drafting, alerts, portfolio workflows.</w:t>
      </w:r>
    </w:p>
    <w:p>
      <w:pPr>
        <w:spacing w:after="140" w:line="269" w:lineRule="auto"/>
      </w:pPr>
      <w:r>
        <w:t>Evidence-informed modeled range: 15%-30% of eligible search/drafting/admin time (model assumption). This is a Qevatrix economic-model assumption, not a measured customer outcome.</w:t>
      </w:r>
    </w:p>
    <w:p>
      <w:pPr>
        <w:spacing w:after="140" w:line="269" w:lineRule="auto"/>
      </w:pPr>
      <w:r>
        <w:t>Control / limitation: Clearance opinions, legal strategy and filing decisions remain with qualified users/counsel.</w:t>
      </w:r>
    </w:p>
    <w:p>
      <w:pPr>
        <w:pStyle w:val="Heading1"/>
      </w:pPr>
      <w:r>
        <w:t>8. Economic Model</w:t>
      </w:r>
    </w:p>
    <w:p>
      <w:pPr>
        <w:pStyle w:val="Heading2"/>
      </w:pPr>
      <w:r>
        <w:t>8.1 Loaded labor cost</w:t>
      </w:r>
    </w:p>
    <w:p>
      <w:pPr>
        <w:spacing w:after="140" w:line="269" w:lineRule="auto"/>
      </w:pPr>
      <w:r>
        <w:t>O*NET reports 2025 U.S. median wage data for Regulatory Affairs Specialists using the Compliance Officers wage series: $38.81 per hour, with the 75th percentile at $52.41 per hour. BLS Employer Costs for Employee Compensation reports that wages and salaries represented about 69.9% of private-industry compensation in March 2026, with benefits accounting for about 30.1%. A simple loaded-cost multiplier is therefore approximately 1.43 (1 / 0.699). This implies a loaded median of roughly $55/hour and a loaded 75th-percentile value of roughly $75/hour before considering specialized management roles. The model uses rounded rates of $60, $75 and $85 per hour across the three organization scenarios.</w:t>
      </w:r>
    </w:p>
    <w:p>
      <w:pPr>
        <w:pStyle w:val="Heading2"/>
      </w:pPr>
      <w:r>
        <w:t>8.2 Time-reduction assumptions</w:t>
      </w:r>
    </w:p>
    <w:p>
      <w:pPr>
        <w:spacing w:after="140" w:line="269" w:lineRule="auto"/>
      </w:pPr>
      <w:r>
        <w:t>The model applies three effect levels only to eligible repetitive or administrative work: 15% conservative, 25% base, and 35% high-utilization. The 25% base is deliberately below the 40% time reduction in the Noy and Zhang writing experiment and close to the 25.1% speed gain in Dell’Acqua et al.; it is also directionally consistent with the 22% EDC-versus-spreadsheet difference observed by Staziaki et al. The model does not claim those external effect sizes will reproduce in Qevatrix.</w:t>
      </w:r>
    </w:p>
    <w:p>
      <w:pPr>
        <w:pStyle w:val="Heading2"/>
      </w:pPr>
      <w:r>
        <w:t>8.3 Formula</w:t>
      </w:r>
    </w:p>
    <w:tbl>
      <w:tblPr>
        <w:tblW w:type="auto" w:w="0"/>
        <w:jc w:val="center"/>
        <w:tblLayout w:type="fixed"/>
        <w:tblLook w:firstColumn="1" w:firstRow="1" w:lastColumn="0" w:lastRow="0" w:noHBand="0" w:noVBand="1" w:val="04A0"/>
      </w:tblPr>
      <w:tblGrid>
        <w:gridCol w:w="9994"/>
      </w:tblGrid>
      <w:tr>
        <w:trPr>
          <w:cantSplit/>
        </w:trPr>
        <w:tc>
          <w:tcPr>
            <w:tcW w:type="dxa" w:w="9288"/>
            <w:shd w:fill="EAF7F8"/>
            <w:tcMar>
              <w:top w:w="140" w:type="dxa"/>
              <w:start w:w="160" w:type="dxa"/>
              <w:bottom w:w="140" w:type="dxa"/>
              <w:end w:w="160" w:type="dxa"/>
            </w:tcMar>
          </w:tcPr>
          <w:p>
            <w:pPr>
              <w:spacing w:after="80"/>
            </w:pPr>
            <w:r/>
            <w:r>
              <w:rPr>
                <w:b/>
                <w:color w:val="18323D"/>
                <w:sz w:val="21"/>
              </w:rPr>
              <w:t>Core formula</w:t>
            </w:r>
          </w:p>
          <w:p>
            <w:pPr>
              <w:spacing w:after="0" w:line="259" w:lineRule="auto"/>
            </w:pPr>
            <w:r>
              <w:rPr>
                <w:color w:val="48626C"/>
                <w:sz w:val="19"/>
              </w:rPr>
              <w:t>Annual eligible hours = team size x eligible hours per person per week x productive weeks.</w:t>
              <w:br/>
              <w:t>Annual hours released = annual eligible hours x modeled time-reduction rate.</w:t>
              <w:br/>
              <w:t>Capacity value = annual hours released x loaded hourly cost.</w:t>
              <w:br/>
              <w:t>Net economic value = capacity value - annual Qevatrix subscription.</w:t>
              <w:br/>
              <w:t>Modeled ROI = net economic value / annual subscription x 100.</w:t>
            </w:r>
          </w:p>
        </w:tc>
      </w:tr>
    </w:tbl>
    <w:p>
      <w:pPr>
        <w:spacing w:after="0"/>
      </w:pPr>
    </w:p>
    <w:p>
      <w:pPr>
        <w:spacing w:after="140" w:line="269" w:lineRule="auto"/>
      </w:pPr>
      <w:r>
        <w:t>Consulting cost avoidance is set to zero in the core model. Revenue effects are not included in ROI. This prevents the same released capacity from being counted first as labor value and again as revenue value.</w:t>
      </w:r>
    </w:p>
    <w:p>
      <w:pPr>
        <w:pStyle w:val="Heading1"/>
      </w:pPr>
      <w:r>
        <w:t>9. ROI Scenarios</w:t>
      </w:r>
    </w:p>
    <w:p>
      <w:pPr>
        <w:pStyle w:val="Heading2"/>
      </w:pPr>
      <w:r>
        <w:t>Small medical-device company</w:t>
      </w:r>
    </w:p>
    <w:p>
      <w:pPr>
        <w:spacing w:after="140" w:line="269" w:lineRule="auto"/>
      </w:pPr>
      <w:r>
        <w:t>Assumptions: 2 relevant professionals, 10 eligible hours per person per week, 48 productive weeks, loaded labor rate $60/hour, and annual subscription $11,940 (QualityOS Essentials). Illustrative 2-person RA/QA team using QualityOS Essentials.</w:t>
      </w:r>
    </w:p>
    <w:tbl>
      <w:tblPr>
        <w:tblStyle w:val="TableGrid"/>
        <w:tblW w:type="auto" w:w="0"/>
        <w:jc w:val="center"/>
        <w:tblLayout w:type="fixed"/>
        <w:tblLook w:firstColumn="1" w:firstRow="1" w:lastColumn="0" w:lastRow="0" w:noHBand="0" w:noVBand="1" w:val="04A0"/>
      </w:tblPr>
      <w:tblGrid>
        <w:gridCol w:w="1249"/>
        <w:gridCol w:w="1249"/>
        <w:gridCol w:w="1249"/>
        <w:gridCol w:w="1249"/>
        <w:gridCol w:w="1249"/>
        <w:gridCol w:w="1249"/>
        <w:gridCol w:w="1249"/>
        <w:gridCol w:w="1249"/>
      </w:tblGrid>
      <w:tr>
        <w:trPr>
          <w:tblHeader w:val="true"/>
          <w:cantSplit/>
        </w:trPr>
        <w:tc>
          <w:tcPr>
            <w:tcW w:type="dxa" w:w="1224"/>
            <w:vAlign w:val="center"/>
            <w:tcMar>
              <w:top w:w="100" w:type="dxa"/>
              <w:start w:w="110" w:type="dxa"/>
              <w:bottom w:w="100" w:type="dxa"/>
              <w:end w:w="110" w:type="dxa"/>
            </w:tcMar>
            <w:shd w:fill="18323D"/>
          </w:tcPr>
          <w:p>
            <w:pPr>
              <w:spacing w:after="0" w:before="0"/>
              <w:jc w:val="center"/>
            </w:pPr>
            <w:r/>
            <w:r>
              <w:rPr>
                <w:rFonts w:ascii="Aptos" w:hAnsi="Aptos"/>
                <w:b/>
                <w:color w:val="FFFFFF"/>
                <w:sz w:val="16"/>
              </w:rPr>
              <w:t>Scenario</w:t>
            </w:r>
          </w:p>
        </w:tc>
        <w:tc>
          <w:tcPr>
            <w:tcW w:type="dxa" w:w="936"/>
            <w:vAlign w:val="center"/>
            <w:tcMar>
              <w:top w:w="100" w:type="dxa"/>
              <w:start w:w="110" w:type="dxa"/>
              <w:bottom w:w="100" w:type="dxa"/>
              <w:end w:w="110" w:type="dxa"/>
            </w:tcMar>
            <w:shd w:fill="18323D"/>
          </w:tcPr>
          <w:p>
            <w:pPr>
              <w:spacing w:after="0" w:before="0"/>
              <w:jc w:val="center"/>
            </w:pPr>
            <w:r/>
            <w:r>
              <w:rPr>
                <w:rFonts w:ascii="Aptos" w:hAnsi="Aptos"/>
                <w:b/>
                <w:color w:val="FFFFFF"/>
                <w:sz w:val="16"/>
              </w:rPr>
              <w:t>Reduction</w:t>
            </w:r>
          </w:p>
        </w:tc>
        <w:tc>
          <w:tcPr>
            <w:tcW w:type="dxa" w:w="1224"/>
            <w:vAlign w:val="center"/>
            <w:tcMar>
              <w:top w:w="100" w:type="dxa"/>
              <w:start w:w="110" w:type="dxa"/>
              <w:bottom w:w="100" w:type="dxa"/>
              <w:end w:w="110" w:type="dxa"/>
            </w:tcMar>
            <w:shd w:fill="18323D"/>
          </w:tcPr>
          <w:p>
            <w:pPr>
              <w:spacing w:after="0" w:before="0"/>
              <w:jc w:val="center"/>
            </w:pPr>
            <w:r/>
            <w:r>
              <w:rPr>
                <w:rFonts w:ascii="Aptos" w:hAnsi="Aptos"/>
                <w:b/>
                <w:color w:val="FFFFFF"/>
                <w:sz w:val="16"/>
              </w:rPr>
              <w:t>Hours released</w:t>
            </w:r>
          </w:p>
        </w:tc>
        <w:tc>
          <w:tcPr>
            <w:tcW w:type="dxa" w:w="1296"/>
            <w:vAlign w:val="center"/>
            <w:tcMar>
              <w:top w:w="100" w:type="dxa"/>
              <w:start w:w="110" w:type="dxa"/>
              <w:bottom w:w="100" w:type="dxa"/>
              <w:end w:w="110" w:type="dxa"/>
            </w:tcMar>
            <w:shd w:fill="18323D"/>
          </w:tcPr>
          <w:p>
            <w:pPr>
              <w:spacing w:after="0" w:before="0"/>
              <w:jc w:val="center"/>
            </w:pPr>
            <w:r/>
            <w:r>
              <w:rPr>
                <w:rFonts w:ascii="Aptos" w:hAnsi="Aptos"/>
                <w:b/>
                <w:color w:val="FFFFFF"/>
                <w:sz w:val="16"/>
              </w:rPr>
              <w:t>Capacity value</w:t>
            </w:r>
          </w:p>
        </w:tc>
        <w:tc>
          <w:tcPr>
            <w:tcW w:type="dxa" w:w="1224"/>
            <w:vAlign w:val="center"/>
            <w:tcMar>
              <w:top w:w="100" w:type="dxa"/>
              <w:start w:w="110" w:type="dxa"/>
              <w:bottom w:w="100" w:type="dxa"/>
              <w:end w:w="110" w:type="dxa"/>
            </w:tcMar>
            <w:shd w:fill="18323D"/>
          </w:tcPr>
          <w:p>
            <w:pPr>
              <w:spacing w:after="0" w:before="0"/>
              <w:jc w:val="center"/>
            </w:pPr>
            <w:r/>
            <w:r>
              <w:rPr>
                <w:rFonts w:ascii="Aptos" w:hAnsi="Aptos"/>
                <w:b/>
                <w:color w:val="FFFFFF"/>
                <w:sz w:val="16"/>
              </w:rPr>
              <w:t>Net value</w:t>
            </w:r>
          </w:p>
        </w:tc>
        <w:tc>
          <w:tcPr>
            <w:tcW w:type="dxa" w:w="864"/>
            <w:vAlign w:val="center"/>
            <w:tcMar>
              <w:top w:w="100" w:type="dxa"/>
              <w:start w:w="110" w:type="dxa"/>
              <w:bottom w:w="100" w:type="dxa"/>
              <w:end w:w="110" w:type="dxa"/>
            </w:tcMar>
            <w:shd w:fill="18323D"/>
          </w:tcPr>
          <w:p>
            <w:pPr>
              <w:spacing w:after="0" w:before="0"/>
              <w:jc w:val="center"/>
            </w:pPr>
            <w:r/>
            <w:r>
              <w:rPr>
                <w:rFonts w:ascii="Aptos" w:hAnsi="Aptos"/>
                <w:b/>
                <w:color w:val="FFFFFF"/>
                <w:sz w:val="16"/>
              </w:rPr>
              <w:t>ROI</w:t>
            </w:r>
          </w:p>
        </w:tc>
        <w:tc>
          <w:tcPr>
            <w:tcW w:type="dxa" w:w="936"/>
            <w:vAlign w:val="center"/>
            <w:tcMar>
              <w:top w:w="100" w:type="dxa"/>
              <w:start w:w="110" w:type="dxa"/>
              <w:bottom w:w="100" w:type="dxa"/>
              <w:end w:w="110" w:type="dxa"/>
            </w:tcMar>
            <w:shd w:fill="18323D"/>
          </w:tcPr>
          <w:p>
            <w:pPr>
              <w:spacing w:after="0" w:before="0"/>
              <w:jc w:val="center"/>
            </w:pPr>
            <w:r/>
            <w:r>
              <w:rPr>
                <w:rFonts w:ascii="Aptos" w:hAnsi="Aptos"/>
                <w:b/>
                <w:color w:val="FFFFFF"/>
                <w:sz w:val="16"/>
              </w:rPr>
              <w:t>Payback</w:t>
            </w:r>
          </w:p>
        </w:tc>
        <w:tc>
          <w:tcPr>
            <w:tcW w:type="dxa" w:w="1008"/>
            <w:vAlign w:val="center"/>
            <w:tcMar>
              <w:top w:w="100" w:type="dxa"/>
              <w:start w:w="110" w:type="dxa"/>
              <w:bottom w:w="100" w:type="dxa"/>
              <w:end w:w="110" w:type="dxa"/>
            </w:tcMar>
            <w:shd w:fill="18323D"/>
          </w:tcPr>
          <w:p>
            <w:pPr>
              <w:spacing w:after="0" w:before="0"/>
              <w:jc w:val="center"/>
            </w:pPr>
            <w:r/>
            <w:r>
              <w:rPr>
                <w:rFonts w:ascii="Aptos" w:hAnsi="Aptos"/>
                <w:b/>
                <w:color w:val="FFFFFF"/>
                <w:sz w:val="16"/>
              </w:rPr>
              <w:t>Work-years</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6"/>
              </w:rPr>
              <w:t>Conservative</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15%</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144</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6"/>
              </w:rPr>
              <w:t>$8,640</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$-3,300</w:t>
            </w:r>
          </w:p>
        </w:tc>
        <w:tc>
          <w:tcPr>
            <w:tcW w:type="dxa" w:w="864"/>
            <w:vAlign w:val="center"/>
            <w:tcMar>
              <w:top w:w="100" w:type="dxa"/>
              <w:start w:w="110" w:type="dxa"/>
              <w:bottom w:w="100" w:type="dxa"/>
              <w:end w:w="110" w:type="dxa"/>
            </w:tcMar>
          </w:tcPr>
          <w:p>
            <w:pPr>
              <w:spacing w:after="0" w:before="0"/>
              <w:jc w:val="left"/>
            </w:pPr>
            <w:r/>
            <w:r>
              <w:rPr>
                <w:rFonts w:ascii="Aptos" w:hAnsi="Aptos"/>
                <w:b w:val="0"/>
                <w:sz w:val="16"/>
              </w:rPr>
              <w:t>-27.6%</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16.6 mo</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6"/>
              </w:rPr>
              <w:t>0.07</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6"/>
              </w:rPr>
              <w:t>Base</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25%</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240</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6"/>
              </w:rPr>
              <w:t>$14,400</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$2,460</w:t>
            </w:r>
          </w:p>
        </w:tc>
        <w:tc>
          <w:tcPr>
            <w:tcW w:type="dxa" w:w="864"/>
            <w:vAlign w:val="center"/>
            <w:tcMar>
              <w:top w:w="100" w:type="dxa"/>
              <w:start w:w="110" w:type="dxa"/>
              <w:bottom w:w="100" w:type="dxa"/>
              <w:end w:w="110" w:type="dxa"/>
            </w:tcMar>
          </w:tcPr>
          <w:p>
            <w:pPr>
              <w:spacing w:after="0" w:before="0"/>
              <w:jc w:val="left"/>
            </w:pPr>
            <w:r/>
            <w:r>
              <w:rPr>
                <w:rFonts w:ascii="Aptos" w:hAnsi="Aptos"/>
                <w:b w:val="0"/>
                <w:sz w:val="16"/>
              </w:rPr>
              <w:t>20.6%</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9.9 mo</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6"/>
              </w:rPr>
              <w:t>0.12</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6"/>
              </w:rPr>
              <w:t>High-utilization</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35%</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336</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6"/>
              </w:rPr>
              <w:t>$20,160</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$8,220</w:t>
            </w:r>
          </w:p>
        </w:tc>
        <w:tc>
          <w:tcPr>
            <w:tcW w:type="dxa" w:w="864"/>
            <w:vAlign w:val="center"/>
            <w:tcMar>
              <w:top w:w="100" w:type="dxa"/>
              <w:start w:w="110" w:type="dxa"/>
              <w:bottom w:w="100" w:type="dxa"/>
              <w:end w:w="110" w:type="dxa"/>
            </w:tcMar>
          </w:tcPr>
          <w:p>
            <w:pPr>
              <w:spacing w:after="0" w:before="0"/>
              <w:jc w:val="left"/>
            </w:pPr>
            <w:r/>
            <w:r>
              <w:rPr>
                <w:rFonts w:ascii="Aptos" w:hAnsi="Aptos"/>
                <w:b w:val="0"/>
                <w:sz w:val="16"/>
              </w:rPr>
              <w:t>68.8%</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7.1 mo</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6"/>
              </w:rPr>
              <w:t>0.17</w:t>
            </w:r>
          </w:p>
        </w:tc>
      </w:tr>
    </w:tbl>
    <w:p>
      <w:pPr>
        <w:spacing w:after="40"/>
      </w:pPr>
    </w:p>
    <w:p>
      <w:pPr>
        <w:pStyle w:val="Heading2"/>
      </w:pPr>
      <w:r>
        <w:t>Growth-stage manufacturer</w:t>
      </w:r>
    </w:p>
    <w:p>
      <w:pPr>
        <w:spacing w:after="140" w:line="269" w:lineRule="auto"/>
      </w:pPr>
      <w:r>
        <w:t>Assumptions: 6 relevant professionals, 10 eligible hours per person per week, 48 productive weeks, loaded labor rate $75/hour, and annual subscription $35,940 (DeviceOS Professional). Illustrative 6-person RA/QA team using DeviceOS Professional.</w:t>
      </w:r>
    </w:p>
    <w:tbl>
      <w:tblPr>
        <w:tblStyle w:val="TableGrid"/>
        <w:tblW w:type="auto" w:w="0"/>
        <w:jc w:val="center"/>
        <w:tblLayout w:type="fixed"/>
        <w:tblLook w:firstColumn="1" w:firstRow="1" w:lastColumn="0" w:lastRow="0" w:noHBand="0" w:noVBand="1" w:val="04A0"/>
      </w:tblPr>
      <w:tblGrid>
        <w:gridCol w:w="1249"/>
        <w:gridCol w:w="1249"/>
        <w:gridCol w:w="1249"/>
        <w:gridCol w:w="1249"/>
        <w:gridCol w:w="1249"/>
        <w:gridCol w:w="1249"/>
        <w:gridCol w:w="1249"/>
        <w:gridCol w:w="1249"/>
      </w:tblGrid>
      <w:tr>
        <w:trPr>
          <w:tblHeader w:val="true"/>
          <w:cantSplit/>
        </w:trPr>
        <w:tc>
          <w:tcPr>
            <w:tcW w:type="dxa" w:w="1224"/>
            <w:vAlign w:val="center"/>
            <w:tcMar>
              <w:top w:w="100" w:type="dxa"/>
              <w:start w:w="110" w:type="dxa"/>
              <w:bottom w:w="100" w:type="dxa"/>
              <w:end w:w="110" w:type="dxa"/>
            </w:tcMar>
            <w:shd w:fill="18323D"/>
          </w:tcPr>
          <w:p>
            <w:pPr>
              <w:spacing w:after="0" w:before="0"/>
              <w:jc w:val="center"/>
            </w:pPr>
            <w:r/>
            <w:r>
              <w:rPr>
                <w:rFonts w:ascii="Aptos" w:hAnsi="Aptos"/>
                <w:b/>
                <w:color w:val="FFFFFF"/>
                <w:sz w:val="16"/>
              </w:rPr>
              <w:t>Scenario</w:t>
            </w:r>
          </w:p>
        </w:tc>
        <w:tc>
          <w:tcPr>
            <w:tcW w:type="dxa" w:w="936"/>
            <w:vAlign w:val="center"/>
            <w:tcMar>
              <w:top w:w="100" w:type="dxa"/>
              <w:start w:w="110" w:type="dxa"/>
              <w:bottom w:w="100" w:type="dxa"/>
              <w:end w:w="110" w:type="dxa"/>
            </w:tcMar>
            <w:shd w:fill="18323D"/>
          </w:tcPr>
          <w:p>
            <w:pPr>
              <w:spacing w:after="0" w:before="0"/>
              <w:jc w:val="center"/>
            </w:pPr>
            <w:r/>
            <w:r>
              <w:rPr>
                <w:rFonts w:ascii="Aptos" w:hAnsi="Aptos"/>
                <w:b/>
                <w:color w:val="FFFFFF"/>
                <w:sz w:val="16"/>
              </w:rPr>
              <w:t>Reduction</w:t>
            </w:r>
          </w:p>
        </w:tc>
        <w:tc>
          <w:tcPr>
            <w:tcW w:type="dxa" w:w="1224"/>
            <w:vAlign w:val="center"/>
            <w:tcMar>
              <w:top w:w="100" w:type="dxa"/>
              <w:start w:w="110" w:type="dxa"/>
              <w:bottom w:w="100" w:type="dxa"/>
              <w:end w:w="110" w:type="dxa"/>
            </w:tcMar>
            <w:shd w:fill="18323D"/>
          </w:tcPr>
          <w:p>
            <w:pPr>
              <w:spacing w:after="0" w:before="0"/>
              <w:jc w:val="center"/>
            </w:pPr>
            <w:r/>
            <w:r>
              <w:rPr>
                <w:rFonts w:ascii="Aptos" w:hAnsi="Aptos"/>
                <w:b/>
                <w:color w:val="FFFFFF"/>
                <w:sz w:val="16"/>
              </w:rPr>
              <w:t>Hours released</w:t>
            </w:r>
          </w:p>
        </w:tc>
        <w:tc>
          <w:tcPr>
            <w:tcW w:type="dxa" w:w="1296"/>
            <w:vAlign w:val="center"/>
            <w:tcMar>
              <w:top w:w="100" w:type="dxa"/>
              <w:start w:w="110" w:type="dxa"/>
              <w:bottom w:w="100" w:type="dxa"/>
              <w:end w:w="110" w:type="dxa"/>
            </w:tcMar>
            <w:shd w:fill="18323D"/>
          </w:tcPr>
          <w:p>
            <w:pPr>
              <w:spacing w:after="0" w:before="0"/>
              <w:jc w:val="center"/>
            </w:pPr>
            <w:r/>
            <w:r>
              <w:rPr>
                <w:rFonts w:ascii="Aptos" w:hAnsi="Aptos"/>
                <w:b/>
                <w:color w:val="FFFFFF"/>
                <w:sz w:val="16"/>
              </w:rPr>
              <w:t>Capacity value</w:t>
            </w:r>
          </w:p>
        </w:tc>
        <w:tc>
          <w:tcPr>
            <w:tcW w:type="dxa" w:w="1224"/>
            <w:vAlign w:val="center"/>
            <w:tcMar>
              <w:top w:w="100" w:type="dxa"/>
              <w:start w:w="110" w:type="dxa"/>
              <w:bottom w:w="100" w:type="dxa"/>
              <w:end w:w="110" w:type="dxa"/>
            </w:tcMar>
            <w:shd w:fill="18323D"/>
          </w:tcPr>
          <w:p>
            <w:pPr>
              <w:spacing w:after="0" w:before="0"/>
              <w:jc w:val="center"/>
            </w:pPr>
            <w:r/>
            <w:r>
              <w:rPr>
                <w:rFonts w:ascii="Aptos" w:hAnsi="Aptos"/>
                <w:b/>
                <w:color w:val="FFFFFF"/>
                <w:sz w:val="16"/>
              </w:rPr>
              <w:t>Net value</w:t>
            </w:r>
          </w:p>
        </w:tc>
        <w:tc>
          <w:tcPr>
            <w:tcW w:type="dxa" w:w="864"/>
            <w:vAlign w:val="center"/>
            <w:tcMar>
              <w:top w:w="100" w:type="dxa"/>
              <w:start w:w="110" w:type="dxa"/>
              <w:bottom w:w="100" w:type="dxa"/>
              <w:end w:w="110" w:type="dxa"/>
            </w:tcMar>
            <w:shd w:fill="18323D"/>
          </w:tcPr>
          <w:p>
            <w:pPr>
              <w:spacing w:after="0" w:before="0"/>
              <w:jc w:val="center"/>
            </w:pPr>
            <w:r/>
            <w:r>
              <w:rPr>
                <w:rFonts w:ascii="Aptos" w:hAnsi="Aptos"/>
                <w:b/>
                <w:color w:val="FFFFFF"/>
                <w:sz w:val="16"/>
              </w:rPr>
              <w:t>ROI</w:t>
            </w:r>
          </w:p>
        </w:tc>
        <w:tc>
          <w:tcPr>
            <w:tcW w:type="dxa" w:w="936"/>
            <w:vAlign w:val="center"/>
            <w:tcMar>
              <w:top w:w="100" w:type="dxa"/>
              <w:start w:w="110" w:type="dxa"/>
              <w:bottom w:w="100" w:type="dxa"/>
              <w:end w:w="110" w:type="dxa"/>
            </w:tcMar>
            <w:shd w:fill="18323D"/>
          </w:tcPr>
          <w:p>
            <w:pPr>
              <w:spacing w:after="0" w:before="0"/>
              <w:jc w:val="center"/>
            </w:pPr>
            <w:r/>
            <w:r>
              <w:rPr>
                <w:rFonts w:ascii="Aptos" w:hAnsi="Aptos"/>
                <w:b/>
                <w:color w:val="FFFFFF"/>
                <w:sz w:val="16"/>
              </w:rPr>
              <w:t>Payback</w:t>
            </w:r>
          </w:p>
        </w:tc>
        <w:tc>
          <w:tcPr>
            <w:tcW w:type="dxa" w:w="1008"/>
            <w:vAlign w:val="center"/>
            <w:tcMar>
              <w:top w:w="100" w:type="dxa"/>
              <w:start w:w="110" w:type="dxa"/>
              <w:bottom w:w="100" w:type="dxa"/>
              <w:end w:w="110" w:type="dxa"/>
            </w:tcMar>
            <w:shd w:fill="18323D"/>
          </w:tcPr>
          <w:p>
            <w:pPr>
              <w:spacing w:after="0" w:before="0"/>
              <w:jc w:val="center"/>
            </w:pPr>
            <w:r/>
            <w:r>
              <w:rPr>
                <w:rFonts w:ascii="Aptos" w:hAnsi="Aptos"/>
                <w:b/>
                <w:color w:val="FFFFFF"/>
                <w:sz w:val="16"/>
              </w:rPr>
              <w:t>Work-years</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6"/>
              </w:rPr>
              <w:t>Conservative</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15%</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432</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6"/>
              </w:rPr>
              <w:t>$32,400</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$-3,540</w:t>
            </w:r>
          </w:p>
        </w:tc>
        <w:tc>
          <w:tcPr>
            <w:tcW w:type="dxa" w:w="864"/>
            <w:vAlign w:val="center"/>
            <w:tcMar>
              <w:top w:w="100" w:type="dxa"/>
              <w:start w:w="110" w:type="dxa"/>
              <w:bottom w:w="100" w:type="dxa"/>
              <w:end w:w="110" w:type="dxa"/>
            </w:tcMar>
          </w:tcPr>
          <w:p>
            <w:pPr>
              <w:spacing w:after="0" w:before="0"/>
              <w:jc w:val="left"/>
            </w:pPr>
            <w:r/>
            <w:r>
              <w:rPr>
                <w:rFonts w:ascii="Aptos" w:hAnsi="Aptos"/>
                <w:b w:val="0"/>
                <w:sz w:val="16"/>
              </w:rPr>
              <w:t>-9.8%</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13.3 mo</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6"/>
              </w:rPr>
              <w:t>0.23</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6"/>
              </w:rPr>
              <w:t>Base</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25%</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720</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6"/>
              </w:rPr>
              <w:t>$54,000</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$18,060</w:t>
            </w:r>
          </w:p>
        </w:tc>
        <w:tc>
          <w:tcPr>
            <w:tcW w:type="dxa" w:w="864"/>
            <w:vAlign w:val="center"/>
            <w:tcMar>
              <w:top w:w="100" w:type="dxa"/>
              <w:start w:w="110" w:type="dxa"/>
              <w:bottom w:w="100" w:type="dxa"/>
              <w:end w:w="110" w:type="dxa"/>
            </w:tcMar>
          </w:tcPr>
          <w:p>
            <w:pPr>
              <w:spacing w:after="0" w:before="0"/>
              <w:jc w:val="left"/>
            </w:pPr>
            <w:r/>
            <w:r>
              <w:rPr>
                <w:rFonts w:ascii="Aptos" w:hAnsi="Aptos"/>
                <w:b w:val="0"/>
                <w:sz w:val="16"/>
              </w:rPr>
              <w:t>50.3%</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8.0 mo</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6"/>
              </w:rPr>
              <w:t>0.38</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6"/>
              </w:rPr>
              <w:t>High-utilization</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35%</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1,008</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6"/>
              </w:rPr>
              <w:t>$75,600</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$39,660</w:t>
            </w:r>
          </w:p>
        </w:tc>
        <w:tc>
          <w:tcPr>
            <w:tcW w:type="dxa" w:w="864"/>
            <w:vAlign w:val="center"/>
            <w:tcMar>
              <w:top w:w="100" w:type="dxa"/>
              <w:start w:w="110" w:type="dxa"/>
              <w:bottom w:w="100" w:type="dxa"/>
              <w:end w:w="110" w:type="dxa"/>
            </w:tcMar>
          </w:tcPr>
          <w:p>
            <w:pPr>
              <w:spacing w:after="0" w:before="0"/>
              <w:jc w:val="left"/>
            </w:pPr>
            <w:r/>
            <w:r>
              <w:rPr>
                <w:rFonts w:ascii="Aptos" w:hAnsi="Aptos"/>
                <w:b w:val="0"/>
                <w:sz w:val="16"/>
              </w:rPr>
              <w:t>110.4%</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5.7 mo</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6"/>
              </w:rPr>
              <w:t>0.52</w:t>
            </w:r>
          </w:p>
        </w:tc>
      </w:tr>
    </w:tbl>
    <w:p>
      <w:pPr>
        <w:spacing w:after="40"/>
      </w:pPr>
    </w:p>
    <w:p>
      <w:pPr>
        <w:pStyle w:val="Heading2"/>
      </w:pPr>
      <w:r>
        <w:t>Established manufacturer</w:t>
      </w:r>
    </w:p>
    <w:p>
      <w:pPr>
        <w:spacing w:after="140" w:line="269" w:lineRule="auto"/>
      </w:pPr>
      <w:r>
        <w:t>Assumptions: 15 relevant professionals, 12 eligible hours per person per week, 48 productive weeks, loaded labor rate $85/hour, and annual subscription $35,940 (DeviceOS Professional). Illustrative 15-person RA/QA group; enterprise pricing may apply depending on sites, SSO, data residency and support needs.</w:t>
      </w:r>
    </w:p>
    <w:tbl>
      <w:tblPr>
        <w:tblStyle w:val="TableGrid"/>
        <w:tblW w:type="auto" w:w="0"/>
        <w:jc w:val="center"/>
        <w:tblLayout w:type="fixed"/>
        <w:tblLook w:firstColumn="1" w:firstRow="1" w:lastColumn="0" w:lastRow="0" w:noHBand="0" w:noVBand="1" w:val="04A0"/>
      </w:tblPr>
      <w:tblGrid>
        <w:gridCol w:w="1249"/>
        <w:gridCol w:w="1249"/>
        <w:gridCol w:w="1249"/>
        <w:gridCol w:w="1249"/>
        <w:gridCol w:w="1249"/>
        <w:gridCol w:w="1249"/>
        <w:gridCol w:w="1249"/>
        <w:gridCol w:w="1249"/>
      </w:tblGrid>
      <w:tr>
        <w:trPr>
          <w:tblHeader w:val="true"/>
          <w:cantSplit/>
        </w:trPr>
        <w:tc>
          <w:tcPr>
            <w:tcW w:type="dxa" w:w="1224"/>
            <w:vAlign w:val="center"/>
            <w:tcMar>
              <w:top w:w="100" w:type="dxa"/>
              <w:start w:w="110" w:type="dxa"/>
              <w:bottom w:w="100" w:type="dxa"/>
              <w:end w:w="110" w:type="dxa"/>
            </w:tcMar>
            <w:shd w:fill="18323D"/>
          </w:tcPr>
          <w:p>
            <w:pPr>
              <w:spacing w:after="0" w:before="0"/>
              <w:jc w:val="center"/>
            </w:pPr>
            <w:r/>
            <w:r>
              <w:rPr>
                <w:rFonts w:ascii="Aptos" w:hAnsi="Aptos"/>
                <w:b/>
                <w:color w:val="FFFFFF"/>
                <w:sz w:val="16"/>
              </w:rPr>
              <w:t>Scenario</w:t>
            </w:r>
          </w:p>
        </w:tc>
        <w:tc>
          <w:tcPr>
            <w:tcW w:type="dxa" w:w="936"/>
            <w:vAlign w:val="center"/>
            <w:tcMar>
              <w:top w:w="100" w:type="dxa"/>
              <w:start w:w="110" w:type="dxa"/>
              <w:bottom w:w="100" w:type="dxa"/>
              <w:end w:w="110" w:type="dxa"/>
            </w:tcMar>
            <w:shd w:fill="18323D"/>
          </w:tcPr>
          <w:p>
            <w:pPr>
              <w:spacing w:after="0" w:before="0"/>
              <w:jc w:val="center"/>
            </w:pPr>
            <w:r/>
            <w:r>
              <w:rPr>
                <w:rFonts w:ascii="Aptos" w:hAnsi="Aptos"/>
                <w:b/>
                <w:color w:val="FFFFFF"/>
                <w:sz w:val="16"/>
              </w:rPr>
              <w:t>Reduction</w:t>
            </w:r>
          </w:p>
        </w:tc>
        <w:tc>
          <w:tcPr>
            <w:tcW w:type="dxa" w:w="1224"/>
            <w:vAlign w:val="center"/>
            <w:tcMar>
              <w:top w:w="100" w:type="dxa"/>
              <w:start w:w="110" w:type="dxa"/>
              <w:bottom w:w="100" w:type="dxa"/>
              <w:end w:w="110" w:type="dxa"/>
            </w:tcMar>
            <w:shd w:fill="18323D"/>
          </w:tcPr>
          <w:p>
            <w:pPr>
              <w:spacing w:after="0" w:before="0"/>
              <w:jc w:val="center"/>
            </w:pPr>
            <w:r/>
            <w:r>
              <w:rPr>
                <w:rFonts w:ascii="Aptos" w:hAnsi="Aptos"/>
                <w:b/>
                <w:color w:val="FFFFFF"/>
                <w:sz w:val="16"/>
              </w:rPr>
              <w:t>Hours released</w:t>
            </w:r>
          </w:p>
        </w:tc>
        <w:tc>
          <w:tcPr>
            <w:tcW w:type="dxa" w:w="1296"/>
            <w:vAlign w:val="center"/>
            <w:tcMar>
              <w:top w:w="100" w:type="dxa"/>
              <w:start w:w="110" w:type="dxa"/>
              <w:bottom w:w="100" w:type="dxa"/>
              <w:end w:w="110" w:type="dxa"/>
            </w:tcMar>
            <w:shd w:fill="18323D"/>
          </w:tcPr>
          <w:p>
            <w:pPr>
              <w:spacing w:after="0" w:before="0"/>
              <w:jc w:val="center"/>
            </w:pPr>
            <w:r/>
            <w:r>
              <w:rPr>
                <w:rFonts w:ascii="Aptos" w:hAnsi="Aptos"/>
                <w:b/>
                <w:color w:val="FFFFFF"/>
                <w:sz w:val="16"/>
              </w:rPr>
              <w:t>Capacity value</w:t>
            </w:r>
          </w:p>
        </w:tc>
        <w:tc>
          <w:tcPr>
            <w:tcW w:type="dxa" w:w="1224"/>
            <w:vAlign w:val="center"/>
            <w:tcMar>
              <w:top w:w="100" w:type="dxa"/>
              <w:start w:w="110" w:type="dxa"/>
              <w:bottom w:w="100" w:type="dxa"/>
              <w:end w:w="110" w:type="dxa"/>
            </w:tcMar>
            <w:shd w:fill="18323D"/>
          </w:tcPr>
          <w:p>
            <w:pPr>
              <w:spacing w:after="0" w:before="0"/>
              <w:jc w:val="center"/>
            </w:pPr>
            <w:r/>
            <w:r>
              <w:rPr>
                <w:rFonts w:ascii="Aptos" w:hAnsi="Aptos"/>
                <w:b/>
                <w:color w:val="FFFFFF"/>
                <w:sz w:val="16"/>
              </w:rPr>
              <w:t>Net value</w:t>
            </w:r>
          </w:p>
        </w:tc>
        <w:tc>
          <w:tcPr>
            <w:tcW w:type="dxa" w:w="864"/>
            <w:vAlign w:val="center"/>
            <w:tcMar>
              <w:top w:w="100" w:type="dxa"/>
              <w:start w:w="110" w:type="dxa"/>
              <w:bottom w:w="100" w:type="dxa"/>
              <w:end w:w="110" w:type="dxa"/>
            </w:tcMar>
            <w:shd w:fill="18323D"/>
          </w:tcPr>
          <w:p>
            <w:pPr>
              <w:spacing w:after="0" w:before="0"/>
              <w:jc w:val="center"/>
            </w:pPr>
            <w:r/>
            <w:r>
              <w:rPr>
                <w:rFonts w:ascii="Aptos" w:hAnsi="Aptos"/>
                <w:b/>
                <w:color w:val="FFFFFF"/>
                <w:sz w:val="16"/>
              </w:rPr>
              <w:t>ROI</w:t>
            </w:r>
          </w:p>
        </w:tc>
        <w:tc>
          <w:tcPr>
            <w:tcW w:type="dxa" w:w="936"/>
            <w:vAlign w:val="center"/>
            <w:tcMar>
              <w:top w:w="100" w:type="dxa"/>
              <w:start w:w="110" w:type="dxa"/>
              <w:bottom w:w="100" w:type="dxa"/>
              <w:end w:w="110" w:type="dxa"/>
            </w:tcMar>
            <w:shd w:fill="18323D"/>
          </w:tcPr>
          <w:p>
            <w:pPr>
              <w:spacing w:after="0" w:before="0"/>
              <w:jc w:val="center"/>
            </w:pPr>
            <w:r/>
            <w:r>
              <w:rPr>
                <w:rFonts w:ascii="Aptos" w:hAnsi="Aptos"/>
                <w:b/>
                <w:color w:val="FFFFFF"/>
                <w:sz w:val="16"/>
              </w:rPr>
              <w:t>Payback</w:t>
            </w:r>
          </w:p>
        </w:tc>
        <w:tc>
          <w:tcPr>
            <w:tcW w:type="dxa" w:w="1008"/>
            <w:vAlign w:val="center"/>
            <w:tcMar>
              <w:top w:w="100" w:type="dxa"/>
              <w:start w:w="110" w:type="dxa"/>
              <w:bottom w:w="100" w:type="dxa"/>
              <w:end w:w="110" w:type="dxa"/>
            </w:tcMar>
            <w:shd w:fill="18323D"/>
          </w:tcPr>
          <w:p>
            <w:pPr>
              <w:spacing w:after="0" w:before="0"/>
              <w:jc w:val="center"/>
            </w:pPr>
            <w:r/>
            <w:r>
              <w:rPr>
                <w:rFonts w:ascii="Aptos" w:hAnsi="Aptos"/>
                <w:b/>
                <w:color w:val="FFFFFF"/>
                <w:sz w:val="16"/>
              </w:rPr>
              <w:t>Work-years</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6"/>
              </w:rPr>
              <w:t>Conservative</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15%</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1,296</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6"/>
              </w:rPr>
              <w:t>$110,160</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$74,220</w:t>
            </w:r>
          </w:p>
        </w:tc>
        <w:tc>
          <w:tcPr>
            <w:tcW w:type="dxa" w:w="864"/>
            <w:vAlign w:val="center"/>
            <w:tcMar>
              <w:top w:w="100" w:type="dxa"/>
              <w:start w:w="110" w:type="dxa"/>
              <w:bottom w:w="100" w:type="dxa"/>
              <w:end w:w="110" w:type="dxa"/>
            </w:tcMar>
          </w:tcPr>
          <w:p>
            <w:pPr>
              <w:spacing w:after="0" w:before="0"/>
              <w:jc w:val="left"/>
            </w:pPr>
            <w:r/>
            <w:r>
              <w:rPr>
                <w:rFonts w:ascii="Aptos" w:hAnsi="Aptos"/>
                <w:b w:val="0"/>
                <w:sz w:val="16"/>
              </w:rPr>
              <w:t>206.5%</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3.9 mo</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6"/>
              </w:rPr>
              <w:t>0.68</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6"/>
              </w:rPr>
              <w:t>Base</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25%</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2,160</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6"/>
              </w:rPr>
              <w:t>$183,600</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$147,660</w:t>
            </w:r>
          </w:p>
        </w:tc>
        <w:tc>
          <w:tcPr>
            <w:tcW w:type="dxa" w:w="864"/>
            <w:vAlign w:val="center"/>
            <w:tcMar>
              <w:top w:w="100" w:type="dxa"/>
              <w:start w:w="110" w:type="dxa"/>
              <w:bottom w:w="100" w:type="dxa"/>
              <w:end w:w="110" w:type="dxa"/>
            </w:tcMar>
          </w:tcPr>
          <w:p>
            <w:pPr>
              <w:spacing w:after="0" w:before="0"/>
              <w:jc w:val="left"/>
            </w:pPr>
            <w:r/>
            <w:r>
              <w:rPr>
                <w:rFonts w:ascii="Aptos" w:hAnsi="Aptos"/>
                <w:b w:val="0"/>
                <w:sz w:val="16"/>
              </w:rPr>
              <w:t>410.9%</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2.3 mo</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6"/>
              </w:rPr>
              <w:t>1.12</w:t>
            </w:r>
          </w:p>
        </w:tc>
      </w:tr>
      <w:tr>
        <w:trPr>
          <w:cantSplit/>
        </w:trPr>
        <w:tc>
          <w:tcPr>
            <w:tcW w:type="dxa" w:w="1224"/>
            <w:vAlign w:val="center"/>
            <w:tcMar>
              <w:top w:w="100" w:type="dxa"/>
              <w:start w:w="110" w:type="dxa"/>
              <w:bottom w:w="100" w:type="dxa"/>
              <w:end w:w="110" w:type="dxa"/>
            </w:tcMar>
          </w:tcPr>
          <w:p>
            <w:pPr>
              <w:spacing w:after="0" w:before="0"/>
              <w:jc w:val="left"/>
            </w:pPr>
            <w:r/>
            <w:r>
              <w:rPr>
                <w:rFonts w:ascii="Aptos" w:hAnsi="Aptos"/>
                <w:b w:val="0"/>
                <w:sz w:val="16"/>
              </w:rPr>
              <w:t>High-utilization</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35%</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3,024</w:t>
            </w:r>
          </w:p>
        </w:tc>
        <w:tc>
          <w:tcPr>
            <w:tcW w:type="dxa" w:w="1296"/>
            <w:vAlign w:val="center"/>
            <w:tcMar>
              <w:top w:w="100" w:type="dxa"/>
              <w:start w:w="110" w:type="dxa"/>
              <w:bottom w:w="100" w:type="dxa"/>
              <w:end w:w="110" w:type="dxa"/>
            </w:tcMar>
          </w:tcPr>
          <w:p>
            <w:pPr>
              <w:spacing w:after="0" w:before="0"/>
              <w:jc w:val="left"/>
            </w:pPr>
            <w:r/>
            <w:r>
              <w:rPr>
                <w:rFonts w:ascii="Aptos" w:hAnsi="Aptos"/>
                <w:b w:val="0"/>
                <w:sz w:val="16"/>
              </w:rPr>
              <w:t>$257,040</w:t>
            </w:r>
          </w:p>
        </w:tc>
        <w:tc>
          <w:tcPr>
            <w:tcW w:type="dxa" w:w="1224"/>
            <w:vAlign w:val="center"/>
            <w:tcMar>
              <w:top w:w="100" w:type="dxa"/>
              <w:start w:w="110" w:type="dxa"/>
              <w:bottom w:w="100" w:type="dxa"/>
              <w:end w:w="110" w:type="dxa"/>
            </w:tcMar>
          </w:tcPr>
          <w:p>
            <w:pPr>
              <w:spacing w:after="0" w:before="0"/>
              <w:jc w:val="left"/>
            </w:pPr>
            <w:r/>
            <w:r>
              <w:rPr>
                <w:rFonts w:ascii="Aptos" w:hAnsi="Aptos"/>
                <w:b w:val="0"/>
                <w:sz w:val="16"/>
              </w:rPr>
              <w:t>$221,100</w:t>
            </w:r>
          </w:p>
        </w:tc>
        <w:tc>
          <w:tcPr>
            <w:tcW w:type="dxa" w:w="864"/>
            <w:vAlign w:val="center"/>
            <w:tcMar>
              <w:top w:w="100" w:type="dxa"/>
              <w:start w:w="110" w:type="dxa"/>
              <w:bottom w:w="100" w:type="dxa"/>
              <w:end w:w="110" w:type="dxa"/>
            </w:tcMar>
          </w:tcPr>
          <w:p>
            <w:pPr>
              <w:spacing w:after="0" w:before="0"/>
              <w:jc w:val="left"/>
            </w:pPr>
            <w:r/>
            <w:r>
              <w:rPr>
                <w:rFonts w:ascii="Aptos" w:hAnsi="Aptos"/>
                <w:b w:val="0"/>
                <w:sz w:val="16"/>
              </w:rPr>
              <w:t>615.2%</w:t>
            </w:r>
          </w:p>
        </w:tc>
        <w:tc>
          <w:tcPr>
            <w:tcW w:type="dxa" w:w="936"/>
            <w:vAlign w:val="center"/>
            <w:tcMar>
              <w:top w:w="100" w:type="dxa"/>
              <w:start w:w="110" w:type="dxa"/>
              <w:bottom w:w="100" w:type="dxa"/>
              <w:end w:w="110" w:type="dxa"/>
            </w:tcMar>
          </w:tcPr>
          <w:p>
            <w:pPr>
              <w:spacing w:after="0" w:before="0"/>
              <w:jc w:val="left"/>
            </w:pPr>
            <w:r/>
            <w:r>
              <w:rPr>
                <w:rFonts w:ascii="Aptos" w:hAnsi="Aptos"/>
                <w:b w:val="0"/>
                <w:sz w:val="16"/>
              </w:rPr>
              <w:t>1.7 mo</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6"/>
              </w:rPr>
              <w:t>1.57</w:t>
            </w:r>
          </w:p>
        </w:tc>
      </w:tr>
    </w:tbl>
    <w:p>
      <w:pPr>
        <w:spacing w:after="40"/>
      </w:pPr>
    </w:p>
    <w:p>
      <w:r>
        <w:drawing>
          <wp:inline xmlns:a="http://schemas.openxmlformats.org/drawingml/2006/main" xmlns:pic="http://schemas.openxmlformats.org/drawingml/2006/picture">
            <wp:extent cx="5897880" cy="3236895"/>
            <wp:docPr id="1" name="Picture 1"/>
            <wp:cNvGraphicFramePr>
              <a:graphicFrameLocks noChangeAspect="1"/>
            </wp:cNvGraphicFramePr>
            <a:graphic>
              <a:graphicData uri="http://schemas.openxmlformats.org/drawingml/2006/picture">
                <pic:pic>
                  <pic:nvPicPr>
                    <pic:cNvPr id="0" name="roi_sensitivity.png"/>
                    <pic:cNvPicPr/>
                  </pic:nvPicPr>
                  <pic:blipFill>
                    <a:blip r:embed="rId10"/>
                    <a:stretch>
                      <a:fillRect/>
                    </a:stretch>
                  </pic:blipFill>
                  <pic:spPr>
                    <a:xfrm>
                      <a:off x="0" y="0"/>
                      <a:ext cx="5897880" cy="3236895"/>
                    </a:xfrm>
                    <a:prstGeom prst="rect"/>
                  </pic:spPr>
                </pic:pic>
              </a:graphicData>
            </a:graphic>
          </wp:inline>
        </w:drawing>
      </w:r>
    </w:p>
    <w:p>
      <w:pPr>
        <w:spacing w:before="40" w:after="180"/>
        <w:jc w:val="center"/>
      </w:pPr>
      <w:r>
        <w:rPr>
          <w:i/>
          <w:color w:val="667085"/>
          <w:sz w:val="17"/>
        </w:rPr>
        <w:t>Figure 1. Modeled ROI sensitivity. Negative values indicate that labor-capacity value alone does not cover the subscription under that scenario; the model excludes consulting avoidance and revenue effects.</w:t>
      </w:r>
    </w:p>
    <w:p>
      <w:r>
        <w:drawing>
          <wp:inline xmlns:a="http://schemas.openxmlformats.org/drawingml/2006/main" xmlns:pic="http://schemas.openxmlformats.org/drawingml/2006/picture">
            <wp:extent cx="5897880" cy="3042612"/>
            <wp:docPr id="2" name="Picture 2"/>
            <wp:cNvGraphicFramePr>
              <a:graphicFrameLocks noChangeAspect="1"/>
            </wp:cNvGraphicFramePr>
            <a:graphic>
              <a:graphicData uri="http://schemas.openxmlformats.org/drawingml/2006/picture">
                <pic:pic>
                  <pic:nvPicPr>
                    <pic:cNvPr id="0" name="capacity_fte.png"/>
                    <pic:cNvPicPr/>
                  </pic:nvPicPr>
                  <pic:blipFill>
                    <a:blip r:embed="rId11"/>
                    <a:stretch>
                      <a:fillRect/>
                    </a:stretch>
                  </pic:blipFill>
                  <pic:spPr>
                    <a:xfrm>
                      <a:off x="0" y="0"/>
                      <a:ext cx="5897880" cy="3042612"/>
                    </a:xfrm>
                    <a:prstGeom prst="rect"/>
                  </pic:spPr>
                </pic:pic>
              </a:graphicData>
            </a:graphic>
          </wp:inline>
        </w:drawing>
      </w:r>
    </w:p>
    <w:p>
      <w:pPr>
        <w:spacing w:before="40" w:after="180"/>
        <w:jc w:val="center"/>
      </w:pPr>
      <w:r>
        <w:rPr>
          <w:i/>
          <w:color w:val="667085"/>
          <w:sz w:val="17"/>
        </w:rPr>
        <w:t>Figure 2. Base-case recovered professional capacity using a 1,920-hour productive work-year (48 weeks x 40 hours).</w:t>
      </w:r>
    </w:p>
    <w:p>
      <w:pPr>
        <w:pStyle w:val="Heading1"/>
      </w:pPr>
      <w:r>
        <w:t>10. Break-Even Capacity Thresholds</w:t>
      </w:r>
    </w:p>
    <w:p>
      <w:pPr>
        <w:spacing w:after="140" w:line="269" w:lineRule="auto"/>
      </w:pPr>
      <w:r>
        <w:t>A simple way to evaluate fit is to ask how many professional hours must be released each year for the subscription to equal the value of recovered capacity. At a loaded labor rate of $75/hour, the approximate thresholds are shown below. This is not a guarantee of savings; it is a transparent break-even test.</w:t>
      </w:r>
    </w:p>
    <w:tbl>
      <w:tblPr>
        <w:tblStyle w:val="TableGrid"/>
        <w:tblW w:type="auto" w:w="0"/>
        <w:jc w:val="center"/>
        <w:tblLayout w:type="fixed"/>
        <w:tblLook w:firstColumn="1" w:firstRow="1" w:lastColumn="0" w:lastRow="0" w:noHBand="0" w:noVBand="1" w:val="04A0"/>
      </w:tblPr>
      <w:tblGrid>
        <w:gridCol w:w="3331"/>
        <w:gridCol w:w="3331"/>
        <w:gridCol w:w="3331"/>
      </w:tblGrid>
      <w:tr>
        <w:trPr>
          <w:tblHeader w:val="true"/>
          <w:cantSplit/>
        </w:trPr>
        <w:tc>
          <w:tcPr>
            <w:tcW w:type="dxa" w:w="2880"/>
            <w:vAlign w:val="center"/>
            <w:tcMar>
              <w:top w:w="100" w:type="dxa"/>
              <w:start w:w="110" w:type="dxa"/>
              <w:bottom w:w="100" w:type="dxa"/>
              <w:end w:w="110" w:type="dxa"/>
            </w:tcMar>
            <w:shd w:fill="18323D"/>
          </w:tcPr>
          <w:p>
            <w:pPr>
              <w:spacing w:after="0" w:before="0"/>
              <w:jc w:val="center"/>
            </w:pPr>
            <w:r/>
            <w:r>
              <w:rPr>
                <w:rFonts w:ascii="Aptos" w:hAnsi="Aptos"/>
                <w:b/>
                <w:color w:val="FFFFFF"/>
                <w:sz w:val="17"/>
              </w:rPr>
              <w:t>Product / tier</w:t>
            </w:r>
          </w:p>
        </w:tc>
        <w:tc>
          <w:tcPr>
            <w:tcW w:type="dxa" w:w="3456"/>
            <w:vAlign w:val="center"/>
            <w:tcMar>
              <w:top w:w="100" w:type="dxa"/>
              <w:start w:w="110" w:type="dxa"/>
              <w:bottom w:w="100" w:type="dxa"/>
              <w:end w:w="110" w:type="dxa"/>
            </w:tcMar>
            <w:shd w:fill="18323D"/>
          </w:tcPr>
          <w:p>
            <w:pPr>
              <w:spacing w:after="0" w:before="0"/>
              <w:jc w:val="center"/>
            </w:pPr>
            <w:r/>
            <w:r>
              <w:rPr>
                <w:rFonts w:ascii="Aptos" w:hAnsi="Aptos"/>
                <w:b/>
                <w:color w:val="FFFFFF"/>
                <w:sz w:val="17"/>
              </w:rPr>
              <w:t>Published annual price used</w:t>
            </w:r>
          </w:p>
        </w:tc>
        <w:tc>
          <w:tcPr>
            <w:tcW w:type="dxa" w:w="3024"/>
            <w:vAlign w:val="center"/>
            <w:tcMar>
              <w:top w:w="100" w:type="dxa"/>
              <w:start w:w="110" w:type="dxa"/>
              <w:bottom w:w="100" w:type="dxa"/>
              <w:end w:w="110" w:type="dxa"/>
            </w:tcMar>
            <w:shd w:fill="18323D"/>
          </w:tcPr>
          <w:p>
            <w:pPr>
              <w:spacing w:after="0" w:before="0"/>
              <w:jc w:val="center"/>
            </w:pPr>
            <w:r/>
            <w:r>
              <w:rPr>
                <w:rFonts w:ascii="Aptos" w:hAnsi="Aptos"/>
                <w:b/>
                <w:color w:val="FFFFFF"/>
                <w:sz w:val="17"/>
              </w:rPr>
              <w:t>Hours of capacity at $75/hour to equal price</w:t>
            </w:r>
          </w:p>
        </w:tc>
      </w:tr>
      <w:tr>
        <w:trPr>
          <w:cantSplit/>
        </w:trPr>
        <w:tc>
          <w:tcPr>
            <w:tcW w:type="dxa" w:w="2880"/>
            <w:vAlign w:val="center"/>
            <w:tcMar>
              <w:top w:w="100" w:type="dxa"/>
              <w:start w:w="110" w:type="dxa"/>
              <w:bottom w:w="100" w:type="dxa"/>
              <w:end w:w="110" w:type="dxa"/>
            </w:tcMar>
          </w:tcPr>
          <w:p>
            <w:pPr>
              <w:spacing w:after="0" w:before="0"/>
              <w:jc w:val="left"/>
            </w:pPr>
            <w:r/>
            <w:r>
              <w:rPr>
                <w:rFonts w:ascii="Aptos" w:hAnsi="Aptos"/>
                <w:b w:val="0"/>
                <w:sz w:val="17"/>
              </w:rPr>
              <w:t>QualityOS Essentials</w:t>
            </w:r>
          </w:p>
        </w:tc>
        <w:tc>
          <w:tcPr>
            <w:tcW w:type="dxa" w:w="3456"/>
            <w:vAlign w:val="center"/>
            <w:tcMar>
              <w:top w:w="100" w:type="dxa"/>
              <w:start w:w="110" w:type="dxa"/>
              <w:bottom w:w="100" w:type="dxa"/>
              <w:end w:w="110" w:type="dxa"/>
            </w:tcMar>
          </w:tcPr>
          <w:p>
            <w:pPr>
              <w:spacing w:after="0" w:before="0"/>
              <w:jc w:val="left"/>
            </w:pPr>
            <w:r/>
            <w:r>
              <w:rPr>
                <w:rFonts w:ascii="Aptos" w:hAnsi="Aptos"/>
                <w:b w:val="0"/>
                <w:sz w:val="17"/>
              </w:rPr>
              <w:t>$11,940/year</w:t>
            </w:r>
          </w:p>
        </w:tc>
        <w:tc>
          <w:tcPr>
            <w:tcW w:type="dxa" w:w="3024"/>
            <w:vAlign w:val="center"/>
            <w:tcMar>
              <w:top w:w="100" w:type="dxa"/>
              <w:start w:w="110" w:type="dxa"/>
              <w:bottom w:w="100" w:type="dxa"/>
              <w:end w:w="110" w:type="dxa"/>
            </w:tcMar>
          </w:tcPr>
          <w:p>
            <w:pPr>
              <w:spacing w:after="0" w:before="0"/>
              <w:jc w:val="left"/>
            </w:pPr>
            <w:r/>
            <w:r>
              <w:rPr>
                <w:rFonts w:ascii="Aptos" w:hAnsi="Aptos"/>
                <w:b w:val="0"/>
                <w:sz w:val="17"/>
              </w:rPr>
              <w:t>159 h</w:t>
            </w:r>
          </w:p>
        </w:tc>
      </w:tr>
      <w:tr>
        <w:trPr>
          <w:cantSplit/>
        </w:trPr>
        <w:tc>
          <w:tcPr>
            <w:tcW w:type="dxa" w:w="2880"/>
            <w:vAlign w:val="center"/>
            <w:tcMar>
              <w:top w:w="100" w:type="dxa"/>
              <w:start w:w="110" w:type="dxa"/>
              <w:bottom w:w="100" w:type="dxa"/>
              <w:end w:w="110" w:type="dxa"/>
            </w:tcMar>
          </w:tcPr>
          <w:p>
            <w:pPr>
              <w:spacing w:after="0" w:before="0"/>
              <w:jc w:val="left"/>
            </w:pPr>
            <w:r/>
            <w:r>
              <w:rPr>
                <w:rFonts w:ascii="Aptos" w:hAnsi="Aptos"/>
                <w:b w:val="0"/>
                <w:sz w:val="17"/>
              </w:rPr>
              <w:t>QualityOS Professional</w:t>
            </w:r>
          </w:p>
        </w:tc>
        <w:tc>
          <w:tcPr>
            <w:tcW w:type="dxa" w:w="3456"/>
            <w:vAlign w:val="center"/>
            <w:tcMar>
              <w:top w:w="100" w:type="dxa"/>
              <w:start w:w="110" w:type="dxa"/>
              <w:bottom w:w="100" w:type="dxa"/>
              <w:end w:w="110" w:type="dxa"/>
            </w:tcMar>
          </w:tcPr>
          <w:p>
            <w:pPr>
              <w:spacing w:after="0" w:before="0"/>
              <w:jc w:val="left"/>
            </w:pPr>
            <w:r/>
            <w:r>
              <w:rPr>
                <w:rFonts w:ascii="Aptos" w:hAnsi="Aptos"/>
                <w:b w:val="0"/>
                <w:sz w:val="17"/>
              </w:rPr>
              <w:t>$23,940/year</w:t>
            </w:r>
          </w:p>
        </w:tc>
        <w:tc>
          <w:tcPr>
            <w:tcW w:type="dxa" w:w="3024"/>
            <w:vAlign w:val="center"/>
            <w:tcMar>
              <w:top w:w="100" w:type="dxa"/>
              <w:start w:w="110" w:type="dxa"/>
              <w:bottom w:w="100" w:type="dxa"/>
              <w:end w:w="110" w:type="dxa"/>
            </w:tcMar>
          </w:tcPr>
          <w:p>
            <w:pPr>
              <w:spacing w:after="0" w:before="0"/>
              <w:jc w:val="left"/>
            </w:pPr>
            <w:r/>
            <w:r>
              <w:rPr>
                <w:rFonts w:ascii="Aptos" w:hAnsi="Aptos"/>
                <w:b w:val="0"/>
                <w:sz w:val="17"/>
              </w:rPr>
              <w:t>319 h</w:t>
            </w:r>
          </w:p>
        </w:tc>
      </w:tr>
      <w:tr>
        <w:trPr>
          <w:cantSplit/>
        </w:trPr>
        <w:tc>
          <w:tcPr>
            <w:tcW w:type="dxa" w:w="2880"/>
            <w:vAlign w:val="center"/>
            <w:tcMar>
              <w:top w:w="100" w:type="dxa"/>
              <w:start w:w="110" w:type="dxa"/>
              <w:bottom w:w="100" w:type="dxa"/>
              <w:end w:w="110" w:type="dxa"/>
            </w:tcMar>
          </w:tcPr>
          <w:p>
            <w:pPr>
              <w:spacing w:after="0" w:before="0"/>
              <w:jc w:val="left"/>
            </w:pPr>
            <w:r/>
            <w:r>
              <w:rPr>
                <w:rFonts w:ascii="Aptos" w:hAnsi="Aptos"/>
                <w:b w:val="0"/>
                <w:sz w:val="17"/>
              </w:rPr>
              <w:t>RegulatoryOS Essentials</w:t>
            </w:r>
          </w:p>
        </w:tc>
        <w:tc>
          <w:tcPr>
            <w:tcW w:type="dxa" w:w="3456"/>
            <w:vAlign w:val="center"/>
            <w:tcMar>
              <w:top w:w="100" w:type="dxa"/>
              <w:start w:w="110" w:type="dxa"/>
              <w:bottom w:w="100" w:type="dxa"/>
              <w:end w:w="110" w:type="dxa"/>
            </w:tcMar>
          </w:tcPr>
          <w:p>
            <w:pPr>
              <w:spacing w:after="0" w:before="0"/>
              <w:jc w:val="left"/>
            </w:pPr>
            <w:r/>
            <w:r>
              <w:rPr>
                <w:rFonts w:ascii="Aptos" w:hAnsi="Aptos"/>
                <w:b w:val="0"/>
                <w:sz w:val="17"/>
              </w:rPr>
              <w:t>$10,740/year</w:t>
            </w:r>
          </w:p>
        </w:tc>
        <w:tc>
          <w:tcPr>
            <w:tcW w:type="dxa" w:w="3024"/>
            <w:vAlign w:val="center"/>
            <w:tcMar>
              <w:top w:w="100" w:type="dxa"/>
              <w:start w:w="110" w:type="dxa"/>
              <w:bottom w:w="100" w:type="dxa"/>
              <w:end w:w="110" w:type="dxa"/>
            </w:tcMar>
          </w:tcPr>
          <w:p>
            <w:pPr>
              <w:spacing w:after="0" w:before="0"/>
              <w:jc w:val="left"/>
            </w:pPr>
            <w:r/>
            <w:r>
              <w:rPr>
                <w:rFonts w:ascii="Aptos" w:hAnsi="Aptos"/>
                <w:b w:val="0"/>
                <w:sz w:val="17"/>
              </w:rPr>
              <w:t>143 h</w:t>
            </w:r>
          </w:p>
        </w:tc>
      </w:tr>
      <w:tr>
        <w:trPr>
          <w:cantSplit/>
        </w:trPr>
        <w:tc>
          <w:tcPr>
            <w:tcW w:type="dxa" w:w="2880"/>
            <w:vAlign w:val="center"/>
            <w:tcMar>
              <w:top w:w="100" w:type="dxa"/>
              <w:start w:w="110" w:type="dxa"/>
              <w:bottom w:w="100" w:type="dxa"/>
              <w:end w:w="110" w:type="dxa"/>
            </w:tcMar>
          </w:tcPr>
          <w:p>
            <w:pPr>
              <w:spacing w:after="0" w:before="0"/>
              <w:jc w:val="left"/>
            </w:pPr>
            <w:r/>
            <w:r>
              <w:rPr>
                <w:rFonts w:ascii="Aptos" w:hAnsi="Aptos"/>
                <w:b w:val="0"/>
                <w:sz w:val="17"/>
              </w:rPr>
              <w:t>RegulatoryOS Professional</w:t>
            </w:r>
          </w:p>
        </w:tc>
        <w:tc>
          <w:tcPr>
            <w:tcW w:type="dxa" w:w="3456"/>
            <w:vAlign w:val="center"/>
            <w:tcMar>
              <w:top w:w="100" w:type="dxa"/>
              <w:start w:w="110" w:type="dxa"/>
              <w:bottom w:w="100" w:type="dxa"/>
              <w:end w:w="110" w:type="dxa"/>
            </w:tcMar>
          </w:tcPr>
          <w:p>
            <w:pPr>
              <w:spacing w:after="0" w:before="0"/>
              <w:jc w:val="left"/>
            </w:pPr>
            <w:r/>
            <w:r>
              <w:rPr>
                <w:rFonts w:ascii="Aptos" w:hAnsi="Aptos"/>
                <w:b w:val="0"/>
                <w:sz w:val="17"/>
              </w:rPr>
              <w:t>$21,540/year</w:t>
            </w:r>
          </w:p>
        </w:tc>
        <w:tc>
          <w:tcPr>
            <w:tcW w:type="dxa" w:w="3024"/>
            <w:vAlign w:val="center"/>
            <w:tcMar>
              <w:top w:w="100" w:type="dxa"/>
              <w:start w:w="110" w:type="dxa"/>
              <w:bottom w:w="100" w:type="dxa"/>
              <w:end w:w="110" w:type="dxa"/>
            </w:tcMar>
          </w:tcPr>
          <w:p>
            <w:pPr>
              <w:spacing w:after="0" w:before="0"/>
              <w:jc w:val="left"/>
            </w:pPr>
            <w:r/>
            <w:r>
              <w:rPr>
                <w:rFonts w:ascii="Aptos" w:hAnsi="Aptos"/>
                <w:b w:val="0"/>
                <w:sz w:val="17"/>
              </w:rPr>
              <w:t>287 h</w:t>
            </w:r>
          </w:p>
        </w:tc>
      </w:tr>
      <w:tr>
        <w:trPr>
          <w:cantSplit/>
        </w:trPr>
        <w:tc>
          <w:tcPr>
            <w:tcW w:type="dxa" w:w="2880"/>
            <w:vAlign w:val="center"/>
            <w:tcMar>
              <w:top w:w="100" w:type="dxa"/>
              <w:start w:w="110" w:type="dxa"/>
              <w:bottom w:w="100" w:type="dxa"/>
              <w:end w:w="110" w:type="dxa"/>
            </w:tcMar>
          </w:tcPr>
          <w:p>
            <w:pPr>
              <w:spacing w:after="0" w:before="0"/>
              <w:jc w:val="left"/>
            </w:pPr>
            <w:r/>
            <w:r>
              <w:rPr>
                <w:rFonts w:ascii="Aptos" w:hAnsi="Aptos"/>
                <w:b w:val="0"/>
                <w:sz w:val="17"/>
              </w:rPr>
              <w:t>DeviceOS Professional</w:t>
            </w:r>
          </w:p>
        </w:tc>
        <w:tc>
          <w:tcPr>
            <w:tcW w:type="dxa" w:w="3456"/>
            <w:vAlign w:val="center"/>
            <w:tcMar>
              <w:top w:w="100" w:type="dxa"/>
              <w:start w:w="110" w:type="dxa"/>
              <w:bottom w:w="100" w:type="dxa"/>
              <w:end w:w="110" w:type="dxa"/>
            </w:tcMar>
          </w:tcPr>
          <w:p>
            <w:pPr>
              <w:spacing w:after="0" w:before="0"/>
              <w:jc w:val="left"/>
            </w:pPr>
            <w:r/>
            <w:r>
              <w:rPr>
                <w:rFonts w:ascii="Aptos" w:hAnsi="Aptos"/>
                <w:b w:val="0"/>
                <w:sz w:val="17"/>
              </w:rPr>
              <w:t>$35,940/year</w:t>
            </w:r>
          </w:p>
        </w:tc>
        <w:tc>
          <w:tcPr>
            <w:tcW w:type="dxa" w:w="3024"/>
            <w:vAlign w:val="center"/>
            <w:tcMar>
              <w:top w:w="100" w:type="dxa"/>
              <w:start w:w="110" w:type="dxa"/>
              <w:bottom w:w="100" w:type="dxa"/>
              <w:end w:w="110" w:type="dxa"/>
            </w:tcMar>
          </w:tcPr>
          <w:p>
            <w:pPr>
              <w:spacing w:after="0" w:before="0"/>
              <w:jc w:val="left"/>
            </w:pPr>
            <w:r/>
            <w:r>
              <w:rPr>
                <w:rFonts w:ascii="Aptos" w:hAnsi="Aptos"/>
                <w:b w:val="0"/>
                <w:sz w:val="17"/>
              </w:rPr>
              <w:t>479 h</w:t>
            </w:r>
          </w:p>
        </w:tc>
      </w:tr>
      <w:tr>
        <w:trPr>
          <w:cantSplit/>
        </w:trPr>
        <w:tc>
          <w:tcPr>
            <w:tcW w:type="dxa" w:w="2880"/>
            <w:vAlign w:val="center"/>
            <w:tcMar>
              <w:top w:w="100" w:type="dxa"/>
              <w:start w:w="110" w:type="dxa"/>
              <w:bottom w:w="100" w:type="dxa"/>
              <w:end w:w="110" w:type="dxa"/>
            </w:tcMar>
          </w:tcPr>
          <w:p>
            <w:pPr>
              <w:spacing w:after="0" w:before="0"/>
              <w:jc w:val="left"/>
            </w:pPr>
            <w:r/>
            <w:r>
              <w:rPr>
                <w:rFonts w:ascii="Aptos" w:hAnsi="Aptos"/>
                <w:b w:val="0"/>
                <w:sz w:val="17"/>
              </w:rPr>
              <w:t>ClinicalOS Single Study</w:t>
            </w:r>
          </w:p>
        </w:tc>
        <w:tc>
          <w:tcPr>
            <w:tcW w:type="dxa" w:w="3456"/>
            <w:vAlign w:val="center"/>
            <w:tcMar>
              <w:top w:w="100" w:type="dxa"/>
              <w:start w:w="110" w:type="dxa"/>
              <w:bottom w:w="100" w:type="dxa"/>
              <w:end w:w="110" w:type="dxa"/>
            </w:tcMar>
          </w:tcPr>
          <w:p>
            <w:pPr>
              <w:spacing w:after="0" w:before="0"/>
              <w:jc w:val="left"/>
            </w:pPr>
            <w:r/>
            <w:r>
              <w:rPr>
                <w:rFonts w:ascii="Aptos" w:hAnsi="Aptos"/>
                <w:b w:val="0"/>
                <w:sz w:val="17"/>
              </w:rPr>
              <w:t>$33,000/year per active study</w:t>
            </w:r>
          </w:p>
        </w:tc>
        <w:tc>
          <w:tcPr>
            <w:tcW w:type="dxa" w:w="3024"/>
            <w:vAlign w:val="center"/>
            <w:tcMar>
              <w:top w:w="100" w:type="dxa"/>
              <w:start w:w="110" w:type="dxa"/>
              <w:bottom w:w="100" w:type="dxa"/>
              <w:end w:w="110" w:type="dxa"/>
            </w:tcMar>
          </w:tcPr>
          <w:p>
            <w:pPr>
              <w:spacing w:after="0" w:before="0"/>
              <w:jc w:val="left"/>
            </w:pPr>
            <w:r/>
            <w:r>
              <w:rPr>
                <w:rFonts w:ascii="Aptos" w:hAnsi="Aptos"/>
                <w:b w:val="0"/>
                <w:sz w:val="17"/>
              </w:rPr>
              <w:t>440 h</w:t>
            </w:r>
          </w:p>
        </w:tc>
      </w:tr>
      <w:tr>
        <w:trPr>
          <w:cantSplit/>
        </w:trPr>
        <w:tc>
          <w:tcPr>
            <w:tcW w:type="dxa" w:w="2880"/>
            <w:vAlign w:val="center"/>
            <w:tcMar>
              <w:top w:w="100" w:type="dxa"/>
              <w:start w:w="110" w:type="dxa"/>
              <w:bottom w:w="100" w:type="dxa"/>
              <w:end w:w="110" w:type="dxa"/>
            </w:tcMar>
          </w:tcPr>
          <w:p>
            <w:pPr>
              <w:spacing w:after="0" w:before="0"/>
              <w:jc w:val="left"/>
            </w:pPr>
            <w:r/>
            <w:r>
              <w:rPr>
                <w:rFonts w:ascii="Aptos" w:hAnsi="Aptos"/>
                <w:b w:val="0"/>
                <w:sz w:val="17"/>
              </w:rPr>
              <w:t>EvidenceOS Registry</w:t>
            </w:r>
          </w:p>
        </w:tc>
        <w:tc>
          <w:tcPr>
            <w:tcW w:type="dxa" w:w="3456"/>
            <w:vAlign w:val="center"/>
            <w:tcMar>
              <w:top w:w="100" w:type="dxa"/>
              <w:start w:w="110" w:type="dxa"/>
              <w:bottom w:w="100" w:type="dxa"/>
              <w:end w:w="110" w:type="dxa"/>
            </w:tcMar>
          </w:tcPr>
          <w:p>
            <w:pPr>
              <w:spacing w:after="0" w:before="0"/>
              <w:jc w:val="left"/>
            </w:pPr>
            <w:r/>
            <w:r>
              <w:rPr>
                <w:rFonts w:ascii="Aptos" w:hAnsi="Aptos"/>
                <w:b w:val="0"/>
                <w:sz w:val="17"/>
              </w:rPr>
              <w:t>$29,940/year per registry</w:t>
            </w:r>
          </w:p>
        </w:tc>
        <w:tc>
          <w:tcPr>
            <w:tcW w:type="dxa" w:w="3024"/>
            <w:vAlign w:val="center"/>
            <w:tcMar>
              <w:top w:w="100" w:type="dxa"/>
              <w:start w:w="110" w:type="dxa"/>
              <w:bottom w:w="100" w:type="dxa"/>
              <w:end w:w="110" w:type="dxa"/>
            </w:tcMar>
          </w:tcPr>
          <w:p>
            <w:pPr>
              <w:spacing w:after="0" w:before="0"/>
              <w:jc w:val="left"/>
            </w:pPr>
            <w:r/>
            <w:r>
              <w:rPr>
                <w:rFonts w:ascii="Aptos" w:hAnsi="Aptos"/>
                <w:b w:val="0"/>
                <w:sz w:val="17"/>
              </w:rPr>
              <w:t>399 h</w:t>
            </w:r>
          </w:p>
        </w:tc>
      </w:tr>
    </w:tbl>
    <w:p>
      <w:pPr>
        <w:spacing w:after="40"/>
      </w:pPr>
    </w:p>
    <w:p>
      <w:pPr>
        <w:pStyle w:val="Heading1"/>
      </w:pPr>
      <w:r>
        <w:t>11. Capacity Reinvestment and Growth</w:t>
      </w:r>
    </w:p>
    <w:p>
      <w:pPr>
        <w:spacing w:after="140" w:line="269" w:lineRule="auto"/>
      </w:pPr>
      <w:r>
        <w:t>Recovered time is not automatically a cash saving. In many medical-device companies, the more strategically useful outcome is additional capacity without equivalent headcount growth. In the base scenarios, the small-company example releases about 240 hours (roughly six 40-hour weeks), the growth-stage example about 720 hours (18 weeks), and the established-manufacturer example about 2,160 hours (54 weeks).</w:t>
      </w:r>
    </w:p>
    <w:p>
      <w:pPr>
        <w:spacing w:after="140" w:line="269" w:lineRule="auto"/>
      </w:pPr>
      <w:r>
        <w:t>That capacity could be redirected to new product-development activities, submission preparation, audit readiness, supplier development, clinical programs, quality improvement, design changes or market expansion. The study does not convert those hours into revenue because the economic contribution of a new project depends on product economics, regulatory timing, commercial execution and market demand. A company may choose to add its own project economics to the ROI calculator as an illustrative scenario, but it should not combine the same hours with labor-capacity value without adjusting for double counting.</w:t>
      </w:r>
    </w:p>
    <w:p>
      <w:pPr>
        <w:pStyle w:val="Heading1"/>
      </w:pPr>
      <w:r>
        <w:t>12. Sensitivity and Limitations</w:t>
      </w:r>
    </w:p>
    <w:p>
      <w:pPr>
        <w:pStyle w:val="ListBullet"/>
      </w:pPr>
      <w:r>
        <w:t>Effect sizes vary widely across tasks. The 15%-35% model range is an assumption informed by external evidence, not a measured Qevatrix outcome.</w:t>
      </w:r>
    </w:p>
    <w:p>
      <w:pPr>
        <w:pStyle w:val="ListBullet"/>
      </w:pPr>
      <w:r>
        <w:t>AI can reduce correctness when used outside its capability frontier; regulated judgment requires qualified review.</w:t>
      </w:r>
    </w:p>
    <w:p>
      <w:pPr>
        <w:pStyle w:val="ListBullet"/>
      </w:pPr>
      <w:r>
        <w:t>Implementation, configuration, data quality, user adoption and process design can materially affect realized productivity.</w:t>
      </w:r>
    </w:p>
    <w:p>
      <w:pPr>
        <w:pStyle w:val="ListBullet"/>
      </w:pPr>
      <w:r>
        <w:t>Clinical automation has setup cost. Cheng et al. (2026) reported meaningful configuration/mapping effort before downstream savings.</w:t>
      </w:r>
    </w:p>
    <w:p>
      <w:pPr>
        <w:pStyle w:val="ListBullet"/>
      </w:pPr>
      <w:r>
        <w:t>The model values recovered time as productive capacity. That is not equivalent to cash savings unless labor expense is actually reduced or avoided.</w:t>
      </w:r>
    </w:p>
    <w:p>
      <w:pPr>
        <w:pStyle w:val="ListBullet"/>
      </w:pPr>
      <w:r>
        <w:t>No direct Qevatrix customer outcome dataset was available for this report. The recommended next step is a prospective before/after customer benchmark program.</w:t>
      </w:r>
    </w:p>
    <w:p>
      <w:pPr>
        <w:pStyle w:val="ListBullet"/>
      </w:pPr>
      <w:r>
        <w:t>Enterprise pricing is quote-based. Published Professional prices are used only where stated; customer-specific ROI should use actual contract cost.</w:t>
      </w:r>
    </w:p>
    <w:p>
      <w:pPr>
        <w:pStyle w:val="Heading1"/>
      </w:pPr>
      <w:r>
        <w:t>13. Website-Safe Claim Matrix</w:t>
      </w:r>
    </w:p>
    <w:tbl>
      <w:tblPr>
        <w:tblStyle w:val="TableGrid"/>
        <w:tblW w:type="auto" w:w="0"/>
        <w:jc w:val="center"/>
        <w:tblLayout w:type="fixed"/>
        <w:tblLook w:firstColumn="1" w:firstRow="1" w:lastColumn="0" w:lastRow="0" w:noHBand="0" w:noVBand="1" w:val="04A0"/>
      </w:tblPr>
      <w:tblGrid>
        <w:gridCol w:w="1999"/>
        <w:gridCol w:w="1999"/>
        <w:gridCol w:w="1999"/>
        <w:gridCol w:w="1999"/>
        <w:gridCol w:w="1999"/>
      </w:tblGrid>
      <w:tr>
        <w:trPr>
          <w:tblHeader w:val="true"/>
          <w:cantSplit/>
        </w:trPr>
        <w:tc>
          <w:tcPr>
            <w:tcW w:type="dxa" w:w="2232"/>
            <w:vAlign w:val="center"/>
            <w:tcMar>
              <w:top w:w="100" w:type="dxa"/>
              <w:start w:w="110" w:type="dxa"/>
              <w:bottom w:w="100" w:type="dxa"/>
              <w:end w:w="110" w:type="dxa"/>
            </w:tcMar>
            <w:shd w:fill="18323D"/>
          </w:tcPr>
          <w:p>
            <w:pPr>
              <w:spacing w:after="0" w:before="0"/>
              <w:jc w:val="center"/>
            </w:pPr>
            <w:r/>
            <w:r>
              <w:rPr>
                <w:rFonts w:ascii="Aptos" w:hAnsi="Aptos"/>
                <w:b/>
                <w:color w:val="FFFFFF"/>
                <w:sz w:val="14"/>
              </w:rPr>
              <w:t>Proposed claim</w:t>
            </w:r>
          </w:p>
        </w:tc>
        <w:tc>
          <w:tcPr>
            <w:tcW w:type="dxa" w:w="1656"/>
            <w:vAlign w:val="center"/>
            <w:tcMar>
              <w:top w:w="100" w:type="dxa"/>
              <w:start w:w="110" w:type="dxa"/>
              <w:bottom w:w="100" w:type="dxa"/>
              <w:end w:w="110" w:type="dxa"/>
            </w:tcMar>
            <w:shd w:fill="18323D"/>
          </w:tcPr>
          <w:p>
            <w:pPr>
              <w:spacing w:after="0" w:before="0"/>
              <w:jc w:val="center"/>
            </w:pPr>
            <w:r/>
            <w:r>
              <w:rPr>
                <w:rFonts w:ascii="Aptos" w:hAnsi="Aptos"/>
                <w:b/>
                <w:color w:val="FFFFFF"/>
                <w:sz w:val="14"/>
              </w:rPr>
              <w:t>Evidence level</w:t>
            </w:r>
          </w:p>
        </w:tc>
        <w:tc>
          <w:tcPr>
            <w:tcW w:type="dxa" w:w="2376"/>
            <w:vAlign w:val="center"/>
            <w:tcMar>
              <w:top w:w="100" w:type="dxa"/>
              <w:start w:w="110" w:type="dxa"/>
              <w:bottom w:w="100" w:type="dxa"/>
              <w:end w:w="110" w:type="dxa"/>
            </w:tcMar>
            <w:shd w:fill="18323D"/>
          </w:tcPr>
          <w:p>
            <w:pPr>
              <w:spacing w:after="0" w:before="0"/>
              <w:jc w:val="center"/>
            </w:pPr>
            <w:r/>
            <w:r>
              <w:rPr>
                <w:rFonts w:ascii="Aptos" w:hAnsi="Aptos"/>
                <w:b/>
                <w:color w:val="FFFFFF"/>
                <w:sz w:val="14"/>
              </w:rPr>
              <w:t>Support</w:t>
            </w:r>
          </w:p>
        </w:tc>
        <w:tc>
          <w:tcPr>
            <w:tcW w:type="dxa" w:w="1008"/>
            <w:vAlign w:val="center"/>
            <w:tcMar>
              <w:top w:w="100" w:type="dxa"/>
              <w:start w:w="110" w:type="dxa"/>
              <w:bottom w:w="100" w:type="dxa"/>
              <w:end w:w="110" w:type="dxa"/>
            </w:tcMar>
            <w:shd w:fill="18323D"/>
          </w:tcPr>
          <w:p>
            <w:pPr>
              <w:spacing w:after="0" w:before="0"/>
              <w:jc w:val="center"/>
            </w:pPr>
            <w:r/>
            <w:r>
              <w:rPr>
                <w:rFonts w:ascii="Aptos" w:hAnsi="Aptos"/>
                <w:b/>
                <w:color w:val="FFFFFF"/>
                <w:sz w:val="14"/>
              </w:rPr>
              <w:t>Publish?</w:t>
            </w:r>
          </w:p>
        </w:tc>
        <w:tc>
          <w:tcPr>
            <w:tcW w:type="dxa" w:w="3528"/>
            <w:vAlign w:val="center"/>
            <w:tcMar>
              <w:top w:w="100" w:type="dxa"/>
              <w:start w:w="110" w:type="dxa"/>
              <w:bottom w:w="100" w:type="dxa"/>
              <w:end w:w="110" w:type="dxa"/>
            </w:tcMar>
            <w:shd w:fill="18323D"/>
          </w:tcPr>
          <w:p>
            <w:pPr>
              <w:spacing w:after="0" w:before="0"/>
              <w:jc w:val="center"/>
            </w:pPr>
            <w:r/>
            <w:r>
              <w:rPr>
                <w:rFonts w:ascii="Aptos" w:hAnsi="Aptos"/>
                <w:b/>
                <w:color w:val="FFFFFF"/>
                <w:sz w:val="14"/>
              </w:rPr>
              <w:t>Recommended wording</w:t>
            </w:r>
          </w:p>
        </w:tc>
      </w:tr>
      <w:tr>
        <w:trPr>
          <w:cantSplit/>
        </w:trPr>
        <w:tc>
          <w:tcPr>
            <w:tcW w:type="dxa" w:w="2232"/>
            <w:vAlign w:val="center"/>
            <w:tcMar>
              <w:top w:w="100" w:type="dxa"/>
              <w:start w:w="110" w:type="dxa"/>
              <w:bottom w:w="100" w:type="dxa"/>
              <w:end w:w="110" w:type="dxa"/>
            </w:tcMar>
          </w:tcPr>
          <w:p>
            <w:pPr>
              <w:spacing w:after="0" w:before="0"/>
              <w:jc w:val="left"/>
            </w:pPr>
            <w:r/>
            <w:r>
              <w:rPr>
                <w:rFonts w:ascii="Aptos" w:hAnsi="Aptos"/>
                <w:b w:val="0"/>
                <w:sz w:val="14"/>
              </w:rPr>
              <w:t>“Qevatrix increases company revenue.”</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Unsupported as a direct causal claim</w:t>
            </w:r>
          </w:p>
        </w:tc>
        <w:tc>
          <w:tcPr>
            <w:tcW w:type="dxa" w:w="2376"/>
            <w:vAlign w:val="center"/>
            <w:tcMar>
              <w:top w:w="100" w:type="dxa"/>
              <w:start w:w="110" w:type="dxa"/>
              <w:bottom w:w="100" w:type="dxa"/>
              <w:end w:w="110" w:type="dxa"/>
            </w:tcMar>
          </w:tcPr>
          <w:p>
            <w:pPr>
              <w:spacing w:after="0" w:before="0"/>
              <w:jc w:val="left"/>
            </w:pPr>
            <w:r/>
            <w:r>
              <w:rPr>
                <w:rFonts w:ascii="Aptos" w:hAnsi="Aptos"/>
                <w:b w:val="0"/>
                <w:sz w:val="14"/>
              </w:rPr>
              <w:t>No direct Qevatrix customer revenue study</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4"/>
              </w:rPr>
              <w:t>No</w:t>
            </w:r>
          </w:p>
        </w:tc>
        <w:tc>
          <w:tcPr>
            <w:tcW w:type="dxa" w:w="3528"/>
            <w:vAlign w:val="center"/>
            <w:tcMar>
              <w:top w:w="100" w:type="dxa"/>
              <w:start w:w="110" w:type="dxa"/>
              <w:bottom w:w="100" w:type="dxa"/>
              <w:end w:w="110" w:type="dxa"/>
            </w:tcMar>
          </w:tcPr>
          <w:p>
            <w:pPr>
              <w:spacing w:after="0" w:before="0"/>
              <w:jc w:val="left"/>
            </w:pPr>
            <w:r/>
            <w:r>
              <w:rPr>
                <w:rFonts w:ascii="Aptos" w:hAnsi="Aptos"/>
                <w:b w:val="0"/>
                <w:sz w:val="14"/>
              </w:rPr>
              <w:t>“Recovered professional capacity may be redirected to product development, submissions, market expansion and other growth activities.”</w:t>
            </w:r>
          </w:p>
        </w:tc>
      </w:tr>
      <w:tr>
        <w:trPr>
          <w:cantSplit/>
        </w:trPr>
        <w:tc>
          <w:tcPr>
            <w:tcW w:type="dxa" w:w="2232"/>
            <w:vAlign w:val="center"/>
            <w:tcMar>
              <w:top w:w="100" w:type="dxa"/>
              <w:start w:w="110" w:type="dxa"/>
              <w:bottom w:w="100" w:type="dxa"/>
              <w:end w:w="110" w:type="dxa"/>
            </w:tcMar>
          </w:tcPr>
          <w:p>
            <w:pPr>
              <w:spacing w:after="0" w:before="0"/>
              <w:jc w:val="left"/>
            </w:pPr>
            <w:r/>
            <w:r>
              <w:rPr>
                <w:rFonts w:ascii="Aptos" w:hAnsi="Aptos"/>
                <w:b w:val="0"/>
                <w:sz w:val="14"/>
              </w:rPr>
              <w:t>“AI makes professional work 40% faster.”</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Overgeneralized</w:t>
            </w:r>
          </w:p>
        </w:tc>
        <w:tc>
          <w:tcPr>
            <w:tcW w:type="dxa" w:w="2376"/>
            <w:vAlign w:val="center"/>
            <w:tcMar>
              <w:top w:w="100" w:type="dxa"/>
              <w:start w:w="110" w:type="dxa"/>
              <w:bottom w:w="100" w:type="dxa"/>
              <w:end w:w="110" w:type="dxa"/>
            </w:tcMar>
          </w:tcPr>
          <w:p>
            <w:pPr>
              <w:spacing w:after="0" w:before="0"/>
              <w:jc w:val="left"/>
            </w:pPr>
            <w:r/>
            <w:r>
              <w:rPr>
                <w:rFonts w:ascii="Aptos" w:hAnsi="Aptos"/>
                <w:b w:val="0"/>
                <w:sz w:val="14"/>
              </w:rPr>
              <w:t>Noy &amp; Zhang found 40% lower time in specific writing tasks</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4"/>
              </w:rPr>
              <w:t>No</w:t>
            </w:r>
          </w:p>
        </w:tc>
        <w:tc>
          <w:tcPr>
            <w:tcW w:type="dxa" w:w="3528"/>
            <w:vAlign w:val="center"/>
            <w:tcMar>
              <w:top w:w="100" w:type="dxa"/>
              <w:start w:w="110" w:type="dxa"/>
              <w:bottom w:w="100" w:type="dxa"/>
              <w:end w:w="110" w:type="dxa"/>
            </w:tcMar>
          </w:tcPr>
          <w:p>
            <w:pPr>
              <w:spacing w:after="0" w:before="0"/>
              <w:jc w:val="left"/>
            </w:pPr>
            <w:r/>
            <w:r>
              <w:rPr>
                <w:rFonts w:ascii="Aptos" w:hAnsi="Aptos"/>
                <w:b w:val="0"/>
                <w:sz w:val="14"/>
              </w:rPr>
              <w:t>“In a randomized experiment on professional writing tasks, generative AI reduced average completion time by 40%; results should not be generalized to every Qevatrix workflow.”</w:t>
            </w:r>
          </w:p>
        </w:tc>
      </w:tr>
      <w:tr>
        <w:trPr>
          <w:cantSplit/>
        </w:trPr>
        <w:tc>
          <w:tcPr>
            <w:tcW w:type="dxa" w:w="2232"/>
            <w:vAlign w:val="center"/>
            <w:tcMar>
              <w:top w:w="100" w:type="dxa"/>
              <w:start w:w="110" w:type="dxa"/>
              <w:bottom w:w="100" w:type="dxa"/>
              <w:end w:w="110" w:type="dxa"/>
            </w:tcMar>
          </w:tcPr>
          <w:p>
            <w:pPr>
              <w:spacing w:after="0" w:before="0"/>
              <w:jc w:val="left"/>
            </w:pPr>
            <w:r/>
            <w:r>
              <w:rPr>
                <w:rFonts w:ascii="Aptos" w:hAnsi="Aptos"/>
                <w:b w:val="0"/>
                <w:sz w:val="14"/>
              </w:rPr>
              <w:t>“AI-assisted knowledge work can be faster when tasks fit the technology.”</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Strong</w:t>
            </w:r>
          </w:p>
        </w:tc>
        <w:tc>
          <w:tcPr>
            <w:tcW w:type="dxa" w:w="2376"/>
            <w:vAlign w:val="center"/>
            <w:tcMar>
              <w:top w:w="100" w:type="dxa"/>
              <w:start w:w="110" w:type="dxa"/>
              <w:bottom w:w="100" w:type="dxa"/>
              <w:end w:w="110" w:type="dxa"/>
            </w:tcMar>
          </w:tcPr>
          <w:p>
            <w:pPr>
              <w:spacing w:after="0" w:before="0"/>
              <w:jc w:val="left"/>
            </w:pPr>
            <w:r/>
            <w:r>
              <w:rPr>
                <w:rFonts w:ascii="Aptos" w:hAnsi="Aptos"/>
                <w:b w:val="0"/>
                <w:sz w:val="14"/>
              </w:rPr>
              <w:t>Noy &amp; Zhang; Dell’Acqua et al.; Brynjolfsson et al.</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4"/>
              </w:rPr>
              <w:t>Yes</w:t>
            </w:r>
          </w:p>
        </w:tc>
        <w:tc>
          <w:tcPr>
            <w:tcW w:type="dxa" w:w="3528"/>
            <w:vAlign w:val="center"/>
            <w:tcMar>
              <w:top w:w="100" w:type="dxa"/>
              <w:start w:w="110" w:type="dxa"/>
              <w:bottom w:w="100" w:type="dxa"/>
              <w:end w:w="110" w:type="dxa"/>
            </w:tcMar>
          </w:tcPr>
          <w:p>
            <w:pPr>
              <w:spacing w:after="0" w:before="0"/>
              <w:jc w:val="left"/>
            </w:pPr>
            <w:r/>
            <w:r>
              <w:rPr>
                <w:rFonts w:ascii="Aptos" w:hAnsi="Aptos"/>
                <w:b w:val="0"/>
                <w:sz w:val="14"/>
              </w:rPr>
              <w:t>Publish with citations and the human-review qualification.</w:t>
            </w:r>
          </w:p>
        </w:tc>
      </w:tr>
      <w:tr>
        <w:trPr>
          <w:cantSplit/>
        </w:trPr>
        <w:tc>
          <w:tcPr>
            <w:tcW w:type="dxa" w:w="2232"/>
            <w:vAlign w:val="center"/>
            <w:tcMar>
              <w:top w:w="100" w:type="dxa"/>
              <w:start w:w="110" w:type="dxa"/>
              <w:bottom w:w="100" w:type="dxa"/>
              <w:end w:w="110" w:type="dxa"/>
            </w:tcMar>
          </w:tcPr>
          <w:p>
            <w:pPr>
              <w:spacing w:after="0" w:before="0"/>
              <w:jc w:val="left"/>
            </w:pPr>
            <w:r/>
            <w:r>
              <w:rPr>
                <w:rFonts w:ascii="Aptos" w:hAnsi="Aptos"/>
                <w:b w:val="0"/>
                <w:sz w:val="14"/>
              </w:rPr>
              <w:t>“Electronic clinical data capture can reduce time versus paper or spreadsheets.”</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Strong</w:t>
            </w:r>
          </w:p>
        </w:tc>
        <w:tc>
          <w:tcPr>
            <w:tcW w:type="dxa" w:w="2376"/>
            <w:vAlign w:val="center"/>
            <w:tcMar>
              <w:top w:w="100" w:type="dxa"/>
              <w:start w:w="110" w:type="dxa"/>
              <w:bottom w:w="100" w:type="dxa"/>
              <w:end w:w="110" w:type="dxa"/>
            </w:tcMar>
          </w:tcPr>
          <w:p>
            <w:pPr>
              <w:spacing w:after="0" w:before="0"/>
              <w:jc w:val="left"/>
            </w:pPr>
            <w:r/>
            <w:r>
              <w:rPr>
                <w:rFonts w:ascii="Aptos" w:hAnsi="Aptos"/>
                <w:b w:val="0"/>
                <w:sz w:val="14"/>
              </w:rPr>
              <w:t>Fleischmann et al.; Staziaki et al.</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4"/>
              </w:rPr>
              <w:t>Yes</w:t>
            </w:r>
          </w:p>
        </w:tc>
        <w:tc>
          <w:tcPr>
            <w:tcW w:type="dxa" w:w="3528"/>
            <w:vAlign w:val="center"/>
            <w:tcMar>
              <w:top w:w="100" w:type="dxa"/>
              <w:start w:w="110" w:type="dxa"/>
              <w:bottom w:w="100" w:type="dxa"/>
              <w:end w:w="110" w:type="dxa"/>
            </w:tcMar>
          </w:tcPr>
          <w:p>
            <w:pPr>
              <w:spacing w:after="0" w:before="0"/>
              <w:jc w:val="left"/>
            </w:pPr>
            <w:r/>
            <w:r>
              <w:rPr>
                <w:rFonts w:ascii="Aptos" w:hAnsi="Aptos"/>
                <w:b w:val="0"/>
                <w:sz w:val="14"/>
              </w:rPr>
              <w:t>Safe with specific context and citations.</w:t>
            </w:r>
          </w:p>
        </w:tc>
      </w:tr>
      <w:tr>
        <w:trPr>
          <w:cantSplit/>
        </w:trPr>
        <w:tc>
          <w:tcPr>
            <w:tcW w:type="dxa" w:w="2232"/>
            <w:vAlign w:val="center"/>
            <w:tcMar>
              <w:top w:w="100" w:type="dxa"/>
              <w:start w:w="110" w:type="dxa"/>
              <w:bottom w:w="100" w:type="dxa"/>
              <w:end w:w="110" w:type="dxa"/>
            </w:tcMar>
          </w:tcPr>
          <w:p>
            <w:pPr>
              <w:spacing w:after="0" w:before="0"/>
              <w:jc w:val="left"/>
            </w:pPr>
            <w:r/>
            <w:r>
              <w:rPr>
                <w:rFonts w:ascii="Aptos" w:hAnsi="Aptos"/>
                <w:b w:val="0"/>
                <w:sz w:val="14"/>
              </w:rPr>
              <w:t>“Clinical data automation can reduce manual entry burden and errors.”</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Strong</w:t>
            </w:r>
          </w:p>
        </w:tc>
        <w:tc>
          <w:tcPr>
            <w:tcW w:type="dxa" w:w="2376"/>
            <w:vAlign w:val="center"/>
            <w:tcMar>
              <w:top w:w="100" w:type="dxa"/>
              <w:start w:w="110" w:type="dxa"/>
              <w:bottom w:w="100" w:type="dxa"/>
              <w:end w:w="110" w:type="dxa"/>
            </w:tcMar>
          </w:tcPr>
          <w:p>
            <w:pPr>
              <w:spacing w:after="0" w:before="0"/>
              <w:jc w:val="left"/>
            </w:pPr>
            <w:r/>
            <w:r>
              <w:rPr>
                <w:rFonts w:ascii="Aptos" w:hAnsi="Aptos"/>
                <w:b w:val="0"/>
                <w:sz w:val="14"/>
              </w:rPr>
              <w:t>Cheng et al. 2023; Cheng et al. 2026</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4"/>
              </w:rPr>
              <w:t>Yes</w:t>
            </w:r>
          </w:p>
        </w:tc>
        <w:tc>
          <w:tcPr>
            <w:tcW w:type="dxa" w:w="3528"/>
            <w:vAlign w:val="center"/>
            <w:tcMar>
              <w:top w:w="100" w:type="dxa"/>
              <w:start w:w="110" w:type="dxa"/>
              <w:bottom w:w="100" w:type="dxa"/>
              <w:end w:w="110" w:type="dxa"/>
            </w:tcMar>
          </w:tcPr>
          <w:p>
            <w:pPr>
              <w:spacing w:after="0" w:before="0"/>
              <w:jc w:val="left"/>
            </w:pPr>
            <w:r/>
            <w:r>
              <w:rPr>
                <w:rFonts w:ascii="Aptos" w:hAnsi="Aptos"/>
                <w:b w:val="0"/>
                <w:sz w:val="14"/>
              </w:rPr>
              <w:t>Safe with context; do not imply all fields or studies automate equally.</w:t>
            </w:r>
          </w:p>
        </w:tc>
      </w:tr>
      <w:tr>
        <w:trPr>
          <w:cantSplit/>
        </w:trPr>
        <w:tc>
          <w:tcPr>
            <w:tcW w:type="dxa" w:w="2232"/>
            <w:vAlign w:val="center"/>
            <w:tcMar>
              <w:top w:w="100" w:type="dxa"/>
              <w:start w:w="110" w:type="dxa"/>
              <w:bottom w:w="100" w:type="dxa"/>
              <w:end w:w="110" w:type="dxa"/>
            </w:tcMar>
          </w:tcPr>
          <w:p>
            <w:pPr>
              <w:spacing w:after="0" w:before="0"/>
              <w:jc w:val="left"/>
            </w:pPr>
            <w:r/>
            <w:r>
              <w:rPr>
                <w:rFonts w:ascii="Aptos" w:hAnsi="Aptos"/>
                <w:b w:val="0"/>
                <w:sz w:val="14"/>
              </w:rPr>
              <w:t>“Qevatrix can release meaningful professional capacity.”</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Modeled, not directly observed</w:t>
            </w:r>
          </w:p>
        </w:tc>
        <w:tc>
          <w:tcPr>
            <w:tcW w:type="dxa" w:w="2376"/>
            <w:vAlign w:val="center"/>
            <w:tcMar>
              <w:top w:w="100" w:type="dxa"/>
              <w:start w:w="110" w:type="dxa"/>
              <w:bottom w:w="100" w:type="dxa"/>
              <w:end w:w="110" w:type="dxa"/>
            </w:tcMar>
          </w:tcPr>
          <w:p>
            <w:pPr>
              <w:spacing w:after="0" w:before="0"/>
              <w:jc w:val="left"/>
            </w:pPr>
            <w:r/>
            <w:r>
              <w:rPr>
                <w:rFonts w:ascii="Aptos" w:hAnsi="Aptos"/>
                <w:b w:val="0"/>
                <w:sz w:val="14"/>
              </w:rPr>
              <w:t>Economic model plus external productivity evidence</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4"/>
              </w:rPr>
              <w:t>Yes, qualified</w:t>
            </w:r>
          </w:p>
        </w:tc>
        <w:tc>
          <w:tcPr>
            <w:tcW w:type="dxa" w:w="3528"/>
            <w:vAlign w:val="center"/>
            <w:tcMar>
              <w:top w:w="100" w:type="dxa"/>
              <w:start w:w="110" w:type="dxa"/>
              <w:bottom w:w="100" w:type="dxa"/>
              <w:end w:w="110" w:type="dxa"/>
            </w:tcMar>
          </w:tcPr>
          <w:p>
            <w:pPr>
              <w:spacing w:after="0" w:before="0"/>
              <w:jc w:val="left"/>
            </w:pPr>
            <w:r/>
            <w:r>
              <w:rPr>
                <w:rFonts w:ascii="Aptos" w:hAnsi="Aptos"/>
                <w:b w:val="0"/>
                <w:sz w:val="14"/>
              </w:rPr>
              <w:t>“Scenario modeling suggests Qevatrix may release meaningful professional capacity when teams apply it to repetitive, suitable workflows.”</w:t>
            </w:r>
          </w:p>
        </w:tc>
      </w:tr>
      <w:tr>
        <w:trPr>
          <w:cantSplit/>
        </w:trPr>
        <w:tc>
          <w:tcPr>
            <w:tcW w:type="dxa" w:w="2232"/>
            <w:vAlign w:val="center"/>
            <w:tcMar>
              <w:top w:w="100" w:type="dxa"/>
              <w:start w:w="110" w:type="dxa"/>
              <w:bottom w:w="100" w:type="dxa"/>
              <w:end w:w="110" w:type="dxa"/>
            </w:tcMar>
          </w:tcPr>
          <w:p>
            <w:pPr>
              <w:spacing w:after="0" w:before="0"/>
              <w:jc w:val="left"/>
            </w:pPr>
            <w:r/>
            <w:r>
              <w:rPr>
                <w:rFonts w:ascii="Aptos" w:hAnsi="Aptos"/>
                <w:b w:val="0"/>
                <w:sz w:val="14"/>
              </w:rPr>
              <w:t>“Qevatrix replaces RA/QA professionals.”</w:t>
            </w:r>
          </w:p>
        </w:tc>
        <w:tc>
          <w:tcPr>
            <w:tcW w:type="dxa" w:w="1656"/>
            <w:vAlign w:val="center"/>
            <w:tcMar>
              <w:top w:w="100" w:type="dxa"/>
              <w:start w:w="110" w:type="dxa"/>
              <w:bottom w:w="100" w:type="dxa"/>
              <w:end w:w="110" w:type="dxa"/>
            </w:tcMar>
          </w:tcPr>
          <w:p>
            <w:pPr>
              <w:spacing w:after="0" w:before="0"/>
              <w:jc w:val="left"/>
            </w:pPr>
            <w:r/>
            <w:r>
              <w:rPr>
                <w:rFonts w:ascii="Aptos" w:hAnsi="Aptos"/>
                <w:b w:val="0"/>
                <w:sz w:val="14"/>
              </w:rPr>
              <w:t>Unsupported / undesirable</w:t>
            </w:r>
          </w:p>
        </w:tc>
        <w:tc>
          <w:tcPr>
            <w:tcW w:type="dxa" w:w="2376"/>
            <w:vAlign w:val="center"/>
            <w:tcMar>
              <w:top w:w="100" w:type="dxa"/>
              <w:start w:w="110" w:type="dxa"/>
              <w:bottom w:w="100" w:type="dxa"/>
              <w:end w:w="110" w:type="dxa"/>
            </w:tcMar>
          </w:tcPr>
          <w:p>
            <w:pPr>
              <w:spacing w:after="0" w:before="0"/>
              <w:jc w:val="left"/>
            </w:pPr>
            <w:r/>
            <w:r>
              <w:rPr>
                <w:rFonts w:ascii="Aptos" w:hAnsi="Aptos"/>
                <w:b w:val="0"/>
                <w:sz w:val="14"/>
              </w:rPr>
              <w:t>Evidence supports augmentation and heterogeneous effects</w:t>
            </w:r>
          </w:p>
        </w:tc>
        <w:tc>
          <w:tcPr>
            <w:tcW w:type="dxa" w:w="1008"/>
            <w:vAlign w:val="center"/>
            <w:tcMar>
              <w:top w:w="100" w:type="dxa"/>
              <w:start w:w="110" w:type="dxa"/>
              <w:bottom w:w="100" w:type="dxa"/>
              <w:end w:w="110" w:type="dxa"/>
            </w:tcMar>
          </w:tcPr>
          <w:p>
            <w:pPr>
              <w:spacing w:after="0" w:before="0"/>
              <w:jc w:val="left"/>
            </w:pPr>
            <w:r/>
            <w:r>
              <w:rPr>
                <w:rFonts w:ascii="Aptos" w:hAnsi="Aptos"/>
                <w:b w:val="0"/>
                <w:sz w:val="14"/>
              </w:rPr>
              <w:t>No</w:t>
            </w:r>
          </w:p>
        </w:tc>
        <w:tc>
          <w:tcPr>
            <w:tcW w:type="dxa" w:w="3528"/>
            <w:vAlign w:val="center"/>
            <w:tcMar>
              <w:top w:w="100" w:type="dxa"/>
              <w:start w:w="110" w:type="dxa"/>
              <w:bottom w:w="100" w:type="dxa"/>
              <w:end w:w="110" w:type="dxa"/>
            </w:tcMar>
          </w:tcPr>
          <w:p>
            <w:pPr>
              <w:spacing w:after="0" w:before="0"/>
              <w:jc w:val="left"/>
            </w:pPr>
            <w:r/>
            <w:r>
              <w:rPr>
                <w:rFonts w:ascii="Aptos" w:hAnsi="Aptos"/>
                <w:b w:val="0"/>
                <w:sz w:val="14"/>
              </w:rPr>
              <w:t>“Qevatrix automates and assists routine work while preserving qualified human judgment and approvals.”</w:t>
            </w:r>
          </w:p>
        </w:tc>
      </w:tr>
    </w:tbl>
    <w:p>
      <w:pPr>
        <w:spacing w:after="40"/>
      </w:pPr>
    </w:p>
    <w:p>
      <w:pPr>
        <w:pStyle w:val="Heading1"/>
      </w:pPr>
      <w:r>
        <w:t>14. Future Qevatrix Productivity Benchmark Study</w:t>
      </w:r>
    </w:p>
    <w:p>
      <w:pPr>
        <w:spacing w:after="140" w:line="269" w:lineRule="auto"/>
      </w:pPr>
      <w:r>
        <w:t>Qevatrix should replace modeled assumptions with customer evidence as soon as deployments permit. A prospective benchmark can be embedded into onboarding and quarterly business reviews.</w:t>
      </w:r>
    </w:p>
    <w:p>
      <w:pPr>
        <w:pStyle w:val="Heading2"/>
      </w:pPr>
      <w:r>
        <w:t>14.1 Baseline measures</w:t>
      </w:r>
    </w:p>
    <w:p>
      <w:pPr>
        <w:pStyle w:val="ListBullet"/>
      </w:pPr>
      <w:r>
        <w:t>Average task time by workflow</w:t>
      </w:r>
    </w:p>
    <w:p>
      <w:pPr>
        <w:pStyle w:val="ListBullet"/>
      </w:pPr>
      <w:r>
        <w:t>Number of people and handoffs per workflow</w:t>
      </w:r>
    </w:p>
    <w:p>
      <w:pPr>
        <w:pStyle w:val="ListBullet"/>
      </w:pPr>
      <w:r>
        <w:t>Cycle time from initiation to approval/closure</w:t>
      </w:r>
    </w:p>
    <w:p>
      <w:pPr>
        <w:pStyle w:val="ListBullet"/>
      </w:pPr>
      <w:r>
        <w:t>External consultant hours or spend</w:t>
      </w:r>
    </w:p>
    <w:p>
      <w:pPr>
        <w:pStyle w:val="ListBullet"/>
      </w:pPr>
      <w:r>
        <w:t>Rework / correction count</w:t>
      </w:r>
    </w:p>
    <w:p>
      <w:pPr>
        <w:pStyle w:val="ListBullet"/>
      </w:pPr>
      <w:r>
        <w:t>Search and evidence-assembly time</w:t>
      </w:r>
    </w:p>
    <w:p>
      <w:pPr>
        <w:pStyle w:val="ListBullet"/>
      </w:pPr>
      <w:r>
        <w:t>Annual volume of documents, CAPAs, complaints, audits, supplier reviews and submissions</w:t>
      </w:r>
    </w:p>
    <w:p>
      <w:pPr>
        <w:pStyle w:val="Heading2"/>
      </w:pPr>
      <w:r>
        <w:t>14.2 Post-implementation measures</w:t>
      </w:r>
    </w:p>
    <w:p>
      <w:pPr>
        <w:pStyle w:val="ListBullet"/>
      </w:pPr>
      <w:r>
        <w:t>Qevatrix-assisted task time</w:t>
      </w:r>
    </w:p>
    <w:p>
      <w:pPr>
        <w:pStyle w:val="ListBullet"/>
      </w:pPr>
      <w:r>
        <w:t>AI drafting time and human review time separately</w:t>
      </w:r>
    </w:p>
    <w:p>
      <w:pPr>
        <w:pStyle w:val="ListBullet"/>
      </w:pPr>
      <w:r>
        <w:t>Cycle time</w:t>
      </w:r>
    </w:p>
    <w:p>
      <w:pPr>
        <w:pStyle w:val="ListBullet"/>
      </w:pPr>
      <w:r>
        <w:t>Number of automated reminders/routings</w:t>
      </w:r>
    </w:p>
    <w:p>
      <w:pPr>
        <w:pStyle w:val="ListBullet"/>
      </w:pPr>
      <w:r>
        <w:t>Time to locate evidence</w:t>
      </w:r>
    </w:p>
    <w:p>
      <w:pPr>
        <w:pStyle w:val="ListBullet"/>
      </w:pPr>
      <w:r>
        <w:t>Rework / correction count</w:t>
      </w:r>
    </w:p>
    <w:p>
      <w:pPr>
        <w:pStyle w:val="ListBullet"/>
      </w:pPr>
      <w:r>
        <w:t>User satisfaction</w:t>
      </w:r>
    </w:p>
    <w:p>
      <w:pPr>
        <w:pStyle w:val="ListBullet"/>
      </w:pPr>
      <w:r>
        <w:t>Number of strategic projects supported with recovered capacity</w:t>
      </w:r>
    </w:p>
    <w:p>
      <w:pPr>
        <w:spacing w:after="140" w:line="269" w:lineRule="auto"/>
      </w:pPr>
      <w:r>
        <w:t>Recommended design: collect at least 4-8 weeks of representative baseline data before go-live, then compare the same workflow definitions at 30, 90 and 180 days. Report median as well as mean time, because workflow duration is often skewed by complex cases. Segment results by role, module and task type. This would allow future website claims to move from “modeled” to “observed Qevatrix customer data.”</w:t>
      </w:r>
    </w:p>
    <w:p>
      <w:pPr>
        <w:pStyle w:val="Heading1"/>
      </w:pPr>
      <w:r>
        <w:t>15. Qevatrix ROI Calculator Specification</w:t>
      </w:r>
    </w:p>
    <w:p>
      <w:pPr>
        <w:spacing w:after="140" w:line="269" w:lineRule="auto"/>
      </w:pPr>
      <w:r>
        <w:t>The website calculator should expose all assumptions rather than hiding them. Suggested inputs: selected Qevatrix apps; team size; loaded hourly rate; eligible repetitive/admin hours per person per week; productive weeks; expected time-reduction scenario; actual annual subscription; consultant spend to be optionally avoided; and optional project-capacity scenarios.</w:t>
      </w:r>
    </w:p>
    <w:tbl>
      <w:tblPr>
        <w:tblStyle w:val="TableGrid"/>
        <w:tblW w:type="auto" w:w="0"/>
        <w:jc w:val="center"/>
        <w:tblLayout w:type="fixed"/>
        <w:tblLook w:firstColumn="1" w:firstRow="1" w:lastColumn="0" w:lastRow="0" w:noHBand="0" w:noVBand="1" w:val="04A0"/>
      </w:tblPr>
      <w:tblGrid>
        <w:gridCol w:w="4997"/>
        <w:gridCol w:w="4997"/>
      </w:tblGrid>
      <w:tr>
        <w:trPr>
          <w:tblHeader w:val="true"/>
          <w:cantSplit/>
        </w:trPr>
        <w:tc>
          <w:tcPr>
            <w:tcW w:type="dxa" w:w="2880"/>
            <w:vAlign w:val="center"/>
            <w:tcMar>
              <w:top w:w="100" w:type="dxa"/>
              <w:start w:w="110" w:type="dxa"/>
              <w:bottom w:w="100" w:type="dxa"/>
              <w:end w:w="110" w:type="dxa"/>
            </w:tcMar>
            <w:shd w:fill="18323D"/>
          </w:tcPr>
          <w:p>
            <w:pPr>
              <w:spacing w:after="0" w:before="0"/>
              <w:jc w:val="center"/>
            </w:pPr>
            <w:r/>
            <w:r>
              <w:rPr>
                <w:rFonts w:ascii="Aptos" w:hAnsi="Aptos"/>
                <w:b/>
                <w:color w:val="FFFFFF"/>
                <w:sz w:val="17"/>
              </w:rPr>
              <w:t>Output</w:t>
            </w:r>
          </w:p>
        </w:tc>
        <w:tc>
          <w:tcPr>
            <w:tcW w:type="dxa" w:w="6480"/>
            <w:vAlign w:val="center"/>
            <w:tcMar>
              <w:top w:w="100" w:type="dxa"/>
              <w:start w:w="110" w:type="dxa"/>
              <w:bottom w:w="100" w:type="dxa"/>
              <w:end w:w="110" w:type="dxa"/>
            </w:tcMar>
            <w:shd w:fill="18323D"/>
          </w:tcPr>
          <w:p>
            <w:pPr>
              <w:spacing w:after="0" w:before="0"/>
              <w:jc w:val="center"/>
            </w:pPr>
            <w:r/>
            <w:r>
              <w:rPr>
                <w:rFonts w:ascii="Aptos" w:hAnsi="Aptos"/>
                <w:b/>
                <w:color w:val="FFFFFF"/>
                <w:sz w:val="17"/>
              </w:rPr>
              <w:t>Formula / interpretation</w:t>
            </w:r>
          </w:p>
        </w:tc>
      </w:tr>
      <w:tr>
        <w:trPr>
          <w:cantSplit/>
        </w:trPr>
        <w:tc>
          <w:tcPr>
            <w:tcW w:type="dxa" w:w="2880"/>
            <w:vAlign w:val="center"/>
            <w:tcMar>
              <w:top w:w="100" w:type="dxa"/>
              <w:start w:w="110" w:type="dxa"/>
              <w:bottom w:w="100" w:type="dxa"/>
              <w:end w:w="110" w:type="dxa"/>
            </w:tcMar>
          </w:tcPr>
          <w:p>
            <w:pPr>
              <w:spacing w:after="0" w:before="0"/>
              <w:jc w:val="left"/>
            </w:pPr>
            <w:r/>
            <w:r>
              <w:rPr>
                <w:rFonts w:ascii="Aptos" w:hAnsi="Aptos"/>
                <w:b w:val="0"/>
                <w:sz w:val="17"/>
              </w:rPr>
              <w:t>Eligible annual hours</w:t>
            </w:r>
          </w:p>
        </w:tc>
        <w:tc>
          <w:tcPr>
            <w:tcW w:type="dxa" w:w="6480"/>
            <w:vAlign w:val="center"/>
            <w:tcMar>
              <w:top w:w="100" w:type="dxa"/>
              <w:start w:w="110" w:type="dxa"/>
              <w:bottom w:w="100" w:type="dxa"/>
              <w:end w:w="110" w:type="dxa"/>
            </w:tcMar>
          </w:tcPr>
          <w:p>
            <w:pPr>
              <w:spacing w:after="0" w:before="0"/>
              <w:jc w:val="left"/>
            </w:pPr>
            <w:r/>
            <w:r>
              <w:rPr>
                <w:rFonts w:ascii="Aptos" w:hAnsi="Aptos"/>
                <w:b w:val="0"/>
                <w:sz w:val="17"/>
              </w:rPr>
              <w:t>Team size x eligible hours/week x productive weeks</w:t>
            </w:r>
          </w:p>
        </w:tc>
      </w:tr>
      <w:tr>
        <w:trPr>
          <w:cantSplit/>
        </w:trPr>
        <w:tc>
          <w:tcPr>
            <w:tcW w:type="dxa" w:w="2880"/>
            <w:vAlign w:val="center"/>
            <w:tcMar>
              <w:top w:w="100" w:type="dxa"/>
              <w:start w:w="110" w:type="dxa"/>
              <w:bottom w:w="100" w:type="dxa"/>
              <w:end w:w="110" w:type="dxa"/>
            </w:tcMar>
          </w:tcPr>
          <w:p>
            <w:pPr>
              <w:spacing w:after="0" w:before="0"/>
              <w:jc w:val="left"/>
            </w:pPr>
            <w:r/>
            <w:r>
              <w:rPr>
                <w:rFonts w:ascii="Aptos" w:hAnsi="Aptos"/>
                <w:b w:val="0"/>
                <w:sz w:val="17"/>
              </w:rPr>
              <w:t>Estimated hours released</w:t>
            </w:r>
          </w:p>
        </w:tc>
        <w:tc>
          <w:tcPr>
            <w:tcW w:type="dxa" w:w="6480"/>
            <w:vAlign w:val="center"/>
            <w:tcMar>
              <w:top w:w="100" w:type="dxa"/>
              <w:start w:w="110" w:type="dxa"/>
              <w:bottom w:w="100" w:type="dxa"/>
              <w:end w:w="110" w:type="dxa"/>
            </w:tcMar>
          </w:tcPr>
          <w:p>
            <w:pPr>
              <w:spacing w:after="0" w:before="0"/>
              <w:jc w:val="left"/>
            </w:pPr>
            <w:r/>
            <w:r>
              <w:rPr>
                <w:rFonts w:ascii="Aptos" w:hAnsi="Aptos"/>
                <w:b w:val="0"/>
                <w:sz w:val="17"/>
              </w:rPr>
              <w:t>Eligible annual hours x selected reduction rate</w:t>
            </w:r>
          </w:p>
        </w:tc>
      </w:tr>
      <w:tr>
        <w:trPr>
          <w:cantSplit/>
        </w:trPr>
        <w:tc>
          <w:tcPr>
            <w:tcW w:type="dxa" w:w="2880"/>
            <w:vAlign w:val="center"/>
            <w:tcMar>
              <w:top w:w="100" w:type="dxa"/>
              <w:start w:w="110" w:type="dxa"/>
              <w:bottom w:w="100" w:type="dxa"/>
              <w:end w:w="110" w:type="dxa"/>
            </w:tcMar>
          </w:tcPr>
          <w:p>
            <w:pPr>
              <w:spacing w:after="0" w:before="0"/>
              <w:jc w:val="left"/>
            </w:pPr>
            <w:r/>
            <w:r>
              <w:rPr>
                <w:rFonts w:ascii="Aptos" w:hAnsi="Aptos"/>
                <w:b w:val="0"/>
                <w:sz w:val="17"/>
              </w:rPr>
              <w:t>Capacity value</w:t>
            </w:r>
          </w:p>
        </w:tc>
        <w:tc>
          <w:tcPr>
            <w:tcW w:type="dxa" w:w="6480"/>
            <w:vAlign w:val="center"/>
            <w:tcMar>
              <w:top w:w="100" w:type="dxa"/>
              <w:start w:w="110" w:type="dxa"/>
              <w:bottom w:w="100" w:type="dxa"/>
              <w:end w:w="110" w:type="dxa"/>
            </w:tcMar>
          </w:tcPr>
          <w:p>
            <w:pPr>
              <w:spacing w:after="0" w:before="0"/>
              <w:jc w:val="left"/>
            </w:pPr>
            <w:r/>
            <w:r>
              <w:rPr>
                <w:rFonts w:ascii="Aptos" w:hAnsi="Aptos"/>
                <w:b w:val="0"/>
                <w:sz w:val="17"/>
              </w:rPr>
              <w:t>Hours released x loaded hourly rate</w:t>
            </w:r>
          </w:p>
        </w:tc>
      </w:tr>
      <w:tr>
        <w:trPr>
          <w:cantSplit/>
        </w:trPr>
        <w:tc>
          <w:tcPr>
            <w:tcW w:type="dxa" w:w="2880"/>
            <w:vAlign w:val="center"/>
            <w:tcMar>
              <w:top w:w="100" w:type="dxa"/>
              <w:start w:w="110" w:type="dxa"/>
              <w:bottom w:w="100" w:type="dxa"/>
              <w:end w:w="110" w:type="dxa"/>
            </w:tcMar>
          </w:tcPr>
          <w:p>
            <w:pPr>
              <w:spacing w:after="0" w:before="0"/>
              <w:jc w:val="left"/>
            </w:pPr>
            <w:r/>
            <w:r>
              <w:rPr>
                <w:rFonts w:ascii="Aptos" w:hAnsi="Aptos"/>
                <w:b w:val="0"/>
                <w:sz w:val="17"/>
              </w:rPr>
              <w:t>Optional consulting avoidance</w:t>
            </w:r>
          </w:p>
        </w:tc>
        <w:tc>
          <w:tcPr>
            <w:tcW w:type="dxa" w:w="6480"/>
            <w:vAlign w:val="center"/>
            <w:tcMar>
              <w:top w:w="100" w:type="dxa"/>
              <w:start w:w="110" w:type="dxa"/>
              <w:bottom w:w="100" w:type="dxa"/>
              <w:end w:w="110" w:type="dxa"/>
            </w:tcMar>
          </w:tcPr>
          <w:p>
            <w:pPr>
              <w:spacing w:after="0" w:before="0"/>
              <w:jc w:val="left"/>
            </w:pPr>
            <w:r/>
            <w:r>
              <w:rPr>
                <w:rFonts w:ascii="Aptos" w:hAnsi="Aptos"/>
                <w:b w:val="0"/>
                <w:sz w:val="17"/>
              </w:rPr>
              <w:t>Customer-entered actual avoidable spend; default = $0</w:t>
            </w:r>
          </w:p>
        </w:tc>
      </w:tr>
      <w:tr>
        <w:trPr>
          <w:cantSplit/>
        </w:trPr>
        <w:tc>
          <w:tcPr>
            <w:tcW w:type="dxa" w:w="2880"/>
            <w:vAlign w:val="center"/>
            <w:tcMar>
              <w:top w:w="100" w:type="dxa"/>
              <w:start w:w="110" w:type="dxa"/>
              <w:bottom w:w="100" w:type="dxa"/>
              <w:end w:w="110" w:type="dxa"/>
            </w:tcMar>
          </w:tcPr>
          <w:p>
            <w:pPr>
              <w:spacing w:after="0" w:before="0"/>
              <w:jc w:val="left"/>
            </w:pPr>
            <w:r/>
            <w:r>
              <w:rPr>
                <w:rFonts w:ascii="Aptos" w:hAnsi="Aptos"/>
                <w:b w:val="0"/>
                <w:sz w:val="17"/>
              </w:rPr>
              <w:t>Total modeled benefit</w:t>
            </w:r>
          </w:p>
        </w:tc>
        <w:tc>
          <w:tcPr>
            <w:tcW w:type="dxa" w:w="6480"/>
            <w:vAlign w:val="center"/>
            <w:tcMar>
              <w:top w:w="100" w:type="dxa"/>
              <w:start w:w="110" w:type="dxa"/>
              <w:bottom w:w="100" w:type="dxa"/>
              <w:end w:w="110" w:type="dxa"/>
            </w:tcMar>
          </w:tcPr>
          <w:p>
            <w:pPr>
              <w:spacing w:after="0" w:before="0"/>
              <w:jc w:val="left"/>
            </w:pPr>
            <w:r/>
            <w:r>
              <w:rPr>
                <w:rFonts w:ascii="Aptos" w:hAnsi="Aptos"/>
                <w:b w:val="0"/>
                <w:sz w:val="17"/>
              </w:rPr>
              <w:t>Capacity value + non-overlapping optional benefits</w:t>
            </w:r>
          </w:p>
        </w:tc>
      </w:tr>
      <w:tr>
        <w:trPr>
          <w:cantSplit/>
        </w:trPr>
        <w:tc>
          <w:tcPr>
            <w:tcW w:type="dxa" w:w="2880"/>
            <w:vAlign w:val="center"/>
            <w:tcMar>
              <w:top w:w="100" w:type="dxa"/>
              <w:start w:w="110" w:type="dxa"/>
              <w:bottom w:w="100" w:type="dxa"/>
              <w:end w:w="110" w:type="dxa"/>
            </w:tcMar>
          </w:tcPr>
          <w:p>
            <w:pPr>
              <w:spacing w:after="0" w:before="0"/>
              <w:jc w:val="left"/>
            </w:pPr>
            <w:r/>
            <w:r>
              <w:rPr>
                <w:rFonts w:ascii="Aptos" w:hAnsi="Aptos"/>
                <w:b w:val="0"/>
                <w:sz w:val="17"/>
              </w:rPr>
              <w:t>Net economic value</w:t>
            </w:r>
          </w:p>
        </w:tc>
        <w:tc>
          <w:tcPr>
            <w:tcW w:type="dxa" w:w="6480"/>
            <w:vAlign w:val="center"/>
            <w:tcMar>
              <w:top w:w="100" w:type="dxa"/>
              <w:start w:w="110" w:type="dxa"/>
              <w:bottom w:w="100" w:type="dxa"/>
              <w:end w:w="110" w:type="dxa"/>
            </w:tcMar>
          </w:tcPr>
          <w:p>
            <w:pPr>
              <w:spacing w:after="0" w:before="0"/>
              <w:jc w:val="left"/>
            </w:pPr>
            <w:r/>
            <w:r>
              <w:rPr>
                <w:rFonts w:ascii="Aptos" w:hAnsi="Aptos"/>
                <w:b w:val="0"/>
                <w:sz w:val="17"/>
              </w:rPr>
              <w:t>Total modeled benefit - annual subscription</w:t>
            </w:r>
          </w:p>
        </w:tc>
      </w:tr>
      <w:tr>
        <w:trPr>
          <w:cantSplit/>
        </w:trPr>
        <w:tc>
          <w:tcPr>
            <w:tcW w:type="dxa" w:w="2880"/>
            <w:vAlign w:val="center"/>
            <w:tcMar>
              <w:top w:w="100" w:type="dxa"/>
              <w:start w:w="110" w:type="dxa"/>
              <w:bottom w:w="100" w:type="dxa"/>
              <w:end w:w="110" w:type="dxa"/>
            </w:tcMar>
          </w:tcPr>
          <w:p>
            <w:pPr>
              <w:spacing w:after="0" w:before="0"/>
              <w:jc w:val="left"/>
            </w:pPr>
            <w:r/>
            <w:r>
              <w:rPr>
                <w:rFonts w:ascii="Aptos" w:hAnsi="Aptos"/>
                <w:b w:val="0"/>
                <w:sz w:val="17"/>
              </w:rPr>
              <w:t>Modeled ROI</w:t>
            </w:r>
          </w:p>
        </w:tc>
        <w:tc>
          <w:tcPr>
            <w:tcW w:type="dxa" w:w="6480"/>
            <w:vAlign w:val="center"/>
            <w:tcMar>
              <w:top w:w="100" w:type="dxa"/>
              <w:start w:w="110" w:type="dxa"/>
              <w:bottom w:w="100" w:type="dxa"/>
              <w:end w:w="110" w:type="dxa"/>
            </w:tcMar>
          </w:tcPr>
          <w:p>
            <w:pPr>
              <w:spacing w:after="0" w:before="0"/>
              <w:jc w:val="left"/>
            </w:pPr>
            <w:r/>
            <w:r>
              <w:rPr>
                <w:rFonts w:ascii="Aptos" w:hAnsi="Aptos"/>
                <w:b w:val="0"/>
                <w:sz w:val="17"/>
              </w:rPr>
              <w:t>Net economic value / annual subscription x 100</w:t>
            </w:r>
          </w:p>
        </w:tc>
      </w:tr>
      <w:tr>
        <w:trPr>
          <w:cantSplit/>
        </w:trPr>
        <w:tc>
          <w:tcPr>
            <w:tcW w:type="dxa" w:w="2880"/>
            <w:vAlign w:val="center"/>
            <w:tcMar>
              <w:top w:w="100" w:type="dxa"/>
              <w:start w:w="110" w:type="dxa"/>
              <w:bottom w:w="100" w:type="dxa"/>
              <w:end w:w="110" w:type="dxa"/>
            </w:tcMar>
          </w:tcPr>
          <w:p>
            <w:pPr>
              <w:spacing w:after="0" w:before="0"/>
              <w:jc w:val="left"/>
            </w:pPr>
            <w:r/>
            <w:r>
              <w:rPr>
                <w:rFonts w:ascii="Aptos" w:hAnsi="Aptos"/>
                <w:b w:val="0"/>
                <w:sz w:val="17"/>
              </w:rPr>
              <w:t>Payback period</w:t>
            </w:r>
          </w:p>
        </w:tc>
        <w:tc>
          <w:tcPr>
            <w:tcW w:type="dxa" w:w="6480"/>
            <w:vAlign w:val="center"/>
            <w:tcMar>
              <w:top w:w="100" w:type="dxa"/>
              <w:start w:w="110" w:type="dxa"/>
              <w:bottom w:w="100" w:type="dxa"/>
              <w:end w:w="110" w:type="dxa"/>
            </w:tcMar>
          </w:tcPr>
          <w:p>
            <w:pPr>
              <w:spacing w:after="0" w:before="0"/>
              <w:jc w:val="left"/>
            </w:pPr>
            <w:r/>
            <w:r>
              <w:rPr>
                <w:rFonts w:ascii="Aptos" w:hAnsi="Aptos"/>
                <w:b w:val="0"/>
                <w:sz w:val="17"/>
              </w:rPr>
              <w:t>Annual subscription / monthly modeled benefit</w:t>
            </w:r>
          </w:p>
        </w:tc>
      </w:tr>
    </w:tbl>
    <w:p>
      <w:pPr>
        <w:spacing w:after="40"/>
      </w:pPr>
    </w:p>
    <w:p>
      <w:pPr>
        <w:pStyle w:val="Heading1"/>
      </w:pPr>
      <w:r>
        <w:t>16. Conclusions</w:t>
      </w:r>
    </w:p>
    <w:p>
      <w:pPr>
        <w:spacing w:after="140" w:line="269" w:lineRule="auto"/>
      </w:pPr>
      <w:r>
        <w:t>The evidence supports a defensible productivity thesis for Qevatrix, but not an unconditional claim that every Qevatrix workflow is faster or that the platform directly increases revenue. High-quality research shows that generative AI can materially accelerate suitable professional tasks, real-world AI deployments can improve throughput, and electronic/automated clinical data workflows can reduce data-entry burden and errors. The same literature also demonstrates that gains are heterogeneous and that incorrect use of AI can reduce performance.</w:t>
      </w:r>
    </w:p>
    <w:p>
      <w:pPr>
        <w:spacing w:after="140" w:line="269" w:lineRule="auto"/>
      </w:pPr>
      <w:r>
        <w:t>Qevatrix’s strongest economic proposition is therefore controlled augmentation: automate repetitive administration, link data that would otherwise be re-entered, generate drafts and summaries, surface deadlines and trends, and preserve human authorization for regulated judgments. Under conservative, transparent assumptions, the modeled value scales with the amount of repetitive work addressable by the system. Small teams may need strong utilization to reach break-even on labor capacity alone; larger teams can recover substantial professional capacity because the subscription cost is spread across more workflows.</w:t>
      </w:r>
    </w:p>
    <w:p>
      <w:pPr>
        <w:spacing w:after="140" w:line="269" w:lineRule="auto"/>
      </w:pPr>
      <w:r>
        <w:t>The most defensible public message is that Qevatrix is designed to give skilled teams time back. That time can be reinvested in product development, regulatory submissions, clinical programs, quality improvement and market expansion. Whether that ultimately produces revenue growth is company-specific and should be treated as a downstream scenario, not a guaranteed software outcome.</w:t>
      </w:r>
    </w:p>
    <w:p>
      <w:pPr>
        <w:pStyle w:val="Heading1"/>
      </w:pPr>
      <w:r>
        <w:t>Conflict-of-Interest and Modeling Disclosure</w:t>
      </w:r>
    </w:p>
    <w:p>
      <w:pPr>
        <w:spacing w:after="140" w:line="269" w:lineRule="auto"/>
      </w:pPr>
      <w:r>
        <w:t>This analysis was prepared for Qevatrix to evaluate the potential productivity and economic implications of its software. Qevatrix-specific ROI estimates are modeled projections based on stated assumptions unless identified as observed customer data. Published external studies should not be interpreted as direct evaluations of Qevatrix unless explicitly stated. The report deliberately separates external evidence, Qevatrix economic modeling, and illustrative scenarios.</w:t>
      </w:r>
    </w:p>
    <w:p>
      <w:pPr>
        <w:pStyle w:val="Heading1"/>
      </w:pPr>
      <w:r>
        <w:t>Publication Readiness / Originality Control</w:t>
      </w:r>
    </w:p>
    <w:p>
      <w:pPr>
        <w:spacing w:after="140" w:line="269" w:lineRule="auto"/>
      </w:pPr>
      <w:r>
        <w:t>The manuscript was written as an original synthesis and uses paraphrase rather than copied source text except for product names and standard terminology. Before public release, Qevatrix should run the final formatted manuscript through an institutional originality service such as iThenticate or Turnitin and retain the result with the publication record. Any flagged passages should be reviewed for quotation, attribution and independent wording rather than altered merely to reduce a similarity score.</w:t>
      </w:r>
    </w:p>
    <w:p>
      <w:pPr>
        <w:pStyle w:val="Heading1"/>
      </w:pPr>
      <w:r>
        <w:t>References</w:t>
      </w:r>
    </w:p>
    <w:p>
      <w:pPr>
        <w:spacing w:after="100"/>
        <w:ind w:left="317" w:hanging="317"/>
      </w:pPr>
      <w:r>
        <w:t>Amaya, J., &amp; Holweg, M. (2024). Using algorithms to improve knowledge work. Journal of Operations Management, 70(3), 482-513. https://doi.org/10.1002/joom.1296</w:t>
      </w:r>
    </w:p>
    <w:p>
      <w:pPr>
        <w:spacing w:after="100"/>
        <w:ind w:left="317" w:hanging="317"/>
      </w:pPr>
      <w:r>
        <w:t>Brynjolfsson, E., Li, D., &amp; Raymond, L. (2025). Generative AI at work. The Quarterly Journal of Economics, 140(2), 889-942. https://doi.org/10.1093/qje/qjae044</w:t>
      </w:r>
    </w:p>
    <w:p>
      <w:pPr>
        <w:spacing w:after="100"/>
        <w:ind w:left="317" w:hanging="317"/>
      </w:pPr>
      <w:r>
        <w:t>Cheng, A. C., Banasiewicz, M. K., Johnson, J. D., et al. (2023). Evaluating automated electronic case report form data entry from electronic health records. Journal of Clinical and Translational Science, 7(1), e29. https://doi.org/10.1017/cts.2022.514 (PMID: 36845316)</w:t>
      </w:r>
    </w:p>
    <w:p>
      <w:pPr>
        <w:spacing w:after="100"/>
        <w:ind w:left="317" w:hanging="317"/>
      </w:pPr>
      <w:r>
        <w:t>Cheng, A. C., Banasiewicz, M. K., Gibbs, K. W., et al. (2026). Multisite evaluation of automated electronic case report form data entry from electronic health records. Journal of Biomedical Informatics, 180, 105060. https://doi.org/10.1016/j.jbi.2026.105060 (PMID: 42217712)</w:t>
      </w:r>
    </w:p>
    <w:p>
      <w:pPr>
        <w:spacing w:after="100"/>
        <w:ind w:left="317" w:hanging="317"/>
      </w:pPr>
      <w:r>
        <w:t>Dell'Acqua, F., McFowland, E., III, Mollick, E. R., Lifshitz-Assaf, H., Kellogg, K. C., Rajendran, S., Krayer, L., Candelon, F., &amp; Lakhani, K. R. (2026). Navigating the jagged technological frontier: Field experimental evidence of the effects of artificial intelligence on knowledge worker productivity and quality. Organization Science. Advance online publication. https://doi.org/10.1287/orsc.2025.21838</w:t>
      </w:r>
    </w:p>
    <w:p>
      <w:pPr>
        <w:spacing w:after="100"/>
        <w:ind w:left="317" w:hanging="317"/>
      </w:pPr>
      <w:r>
        <w:t>Fleischmann, R., Decker, A.-M., Kraft, A., Mai, K., &amp; Schmidt, S. (2017). Mobile electronic versus paper case report forms in clinical trials: A randomized controlled trial. BMC Medical Research Methodology, 17, 153. https://doi.org/10.1186/s12874-017-0429-y (PMID: 29191176)</w:t>
      </w:r>
    </w:p>
    <w:p>
      <w:pPr>
        <w:spacing w:after="100"/>
        <w:ind w:left="317" w:hanging="317"/>
      </w:pPr>
      <w:r>
        <w:t>Noy, S., &amp; Zhang, W. (2023). Experimental evidence on the productivity effects of generative artificial intelligence. Science, 381(6654), 187-192. https://doi.org/10.1126/science.adh2586 (PMID: 37440646)</w:t>
      </w:r>
    </w:p>
    <w:p>
      <w:pPr>
        <w:spacing w:after="100"/>
        <w:ind w:left="317" w:hanging="317"/>
      </w:pPr>
      <w:r>
        <w:t>Staziaki, P. V., Kim, P., Vadvala, H. V., &amp; Ghoshhajra, B. B. (2016). Medical registry data collection efficiency: A crossover study comparing web-based electronic data capture and a standard spreadsheet. Journal of Medical Internet Research, 18(6), e141. https://doi.org/10.2196/jmir.5576 (PMID: 27277523)</w:t>
      </w:r>
    </w:p>
    <w:p>
      <w:pPr>
        <w:spacing w:after="100"/>
        <w:ind w:left="317" w:hanging="317"/>
      </w:pPr>
      <w:r>
        <w:t>Yaegashi, H., Hayashi, Y., Takeda, M., et al. (2024). Efficiency of eSource direct data capture in investigator-initiated clinical trials in oncology. Therapeutic Innovation &amp; Regulatory Science, 58(6), 1031-1041. https://doi.org/10.1007/s43441-024-00671-0 (PMID: 38956005)</w:t>
      </w:r>
    </w:p>
    <w:p>
      <w:pPr>
        <w:spacing w:after="100"/>
        <w:ind w:left="317" w:hanging="317"/>
      </w:pPr>
      <w:r>
        <w:t>U.S. Bureau of Labor Statistics. (2026a). Occupational Employment and Wage Statistics: May 2025 national employment and wage data. https://www.bls.gov/news.release/ocwage.t01.htm</w:t>
      </w:r>
    </w:p>
    <w:p>
      <w:pPr>
        <w:spacing w:after="100"/>
        <w:ind w:left="317" w:hanging="317"/>
      </w:pPr>
      <w:r>
        <w:t>U.S. Bureau of Labor Statistics. (2026b). Employer Costs for Employee Compensation - March 2026. https://www.bls.gov/news.release/ecec.htm</w:t>
      </w:r>
    </w:p>
    <w:p>
      <w:pPr>
        <w:spacing w:after="100"/>
        <w:ind w:left="317" w:hanging="317"/>
      </w:pPr>
      <w:r>
        <w:t>O*NET OnLine. (2026). Regulatory Affairs Specialists (13-1041.07), using 2025 BLS wage data for compliance officers. https://www.onetonline.org/link/summary/13-1041.07</w:t>
      </w:r>
    </w:p>
    <w:p>
      <w:pPr>
        <w:pStyle w:val="Heading1"/>
      </w:pPr>
      <w:r>
        <w:t>Appendix A. Model Assumptions</w:t>
      </w:r>
    </w:p>
    <w:tbl>
      <w:tblPr>
        <w:tblStyle w:val="TableGrid"/>
        <w:tblW w:type="auto" w:w="0"/>
        <w:jc w:val="center"/>
        <w:tblLayout w:type="fixed"/>
        <w:tblLook w:firstColumn="1" w:firstRow="1" w:lastColumn="0" w:lastRow="0" w:noHBand="0" w:noVBand="1" w:val="04A0"/>
      </w:tblPr>
      <w:tblGrid>
        <w:gridCol w:w="3331"/>
        <w:gridCol w:w="3331"/>
        <w:gridCol w:w="3331"/>
      </w:tblGrid>
      <w:tr>
        <w:trPr>
          <w:tblHeader w:val="true"/>
          <w:cantSplit/>
        </w:trPr>
        <w:tc>
          <w:tcPr>
            <w:tcW w:type="dxa" w:w="2448"/>
            <w:vAlign w:val="center"/>
            <w:tcMar>
              <w:top w:w="100" w:type="dxa"/>
              <w:start w:w="110" w:type="dxa"/>
              <w:bottom w:w="100" w:type="dxa"/>
              <w:end w:w="110" w:type="dxa"/>
            </w:tcMar>
            <w:shd w:fill="18323D"/>
          </w:tcPr>
          <w:p>
            <w:pPr>
              <w:spacing w:after="0" w:before="0"/>
              <w:jc w:val="center"/>
            </w:pPr>
            <w:r/>
            <w:r>
              <w:rPr>
                <w:rFonts w:ascii="Aptos" w:hAnsi="Aptos"/>
                <w:b/>
                <w:color w:val="FFFFFF"/>
                <w:sz w:val="16"/>
              </w:rPr>
              <w:t>Assumption</w:t>
            </w:r>
          </w:p>
        </w:tc>
        <w:tc>
          <w:tcPr>
            <w:tcW w:type="dxa" w:w="1800"/>
            <w:vAlign w:val="center"/>
            <w:tcMar>
              <w:top w:w="100" w:type="dxa"/>
              <w:start w:w="110" w:type="dxa"/>
              <w:bottom w:w="100" w:type="dxa"/>
              <w:end w:w="110" w:type="dxa"/>
            </w:tcMar>
            <w:shd w:fill="18323D"/>
          </w:tcPr>
          <w:p>
            <w:pPr>
              <w:spacing w:after="0" w:before="0"/>
              <w:jc w:val="center"/>
            </w:pPr>
            <w:r/>
            <w:r>
              <w:rPr>
                <w:rFonts w:ascii="Aptos" w:hAnsi="Aptos"/>
                <w:b/>
                <w:color w:val="FFFFFF"/>
                <w:sz w:val="16"/>
              </w:rPr>
              <w:t>Value</w:t>
            </w:r>
          </w:p>
        </w:tc>
        <w:tc>
          <w:tcPr>
            <w:tcW w:type="dxa" w:w="5112"/>
            <w:vAlign w:val="center"/>
            <w:tcMar>
              <w:top w:w="100" w:type="dxa"/>
              <w:start w:w="110" w:type="dxa"/>
              <w:bottom w:w="100" w:type="dxa"/>
              <w:end w:w="110" w:type="dxa"/>
            </w:tcMar>
            <w:shd w:fill="18323D"/>
          </w:tcPr>
          <w:p>
            <w:pPr>
              <w:spacing w:after="0" w:before="0"/>
              <w:jc w:val="center"/>
            </w:pPr>
            <w:r/>
            <w:r>
              <w:rPr>
                <w:rFonts w:ascii="Aptos" w:hAnsi="Aptos"/>
                <w:b/>
                <w:color w:val="FFFFFF"/>
                <w:sz w:val="16"/>
              </w:rPr>
              <w:t>Rationale</w:t>
            </w:r>
          </w:p>
        </w:tc>
      </w:tr>
      <w:tr>
        <w:trPr>
          <w:cantSplit/>
        </w:trPr>
        <w:tc>
          <w:tcPr>
            <w:tcW w:type="dxa" w:w="2448"/>
            <w:vAlign w:val="center"/>
            <w:tcMar>
              <w:top w:w="100" w:type="dxa"/>
              <w:start w:w="110" w:type="dxa"/>
              <w:bottom w:w="100" w:type="dxa"/>
              <w:end w:w="110" w:type="dxa"/>
            </w:tcMar>
          </w:tcPr>
          <w:p>
            <w:pPr>
              <w:spacing w:after="0" w:before="0"/>
              <w:jc w:val="left"/>
            </w:pPr>
            <w:r/>
            <w:r>
              <w:rPr>
                <w:rFonts w:ascii="Aptos" w:hAnsi="Aptos"/>
                <w:b w:val="0"/>
                <w:sz w:val="16"/>
              </w:rPr>
              <w:t>Productive weeks</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48 per year</w:t>
            </w:r>
          </w:p>
        </w:tc>
        <w:tc>
          <w:tcPr>
            <w:tcW w:type="dxa" w:w="5112"/>
            <w:vAlign w:val="center"/>
            <w:tcMar>
              <w:top w:w="100" w:type="dxa"/>
              <w:start w:w="110" w:type="dxa"/>
              <w:bottom w:w="100" w:type="dxa"/>
              <w:end w:w="110" w:type="dxa"/>
            </w:tcMar>
          </w:tcPr>
          <w:p>
            <w:pPr>
              <w:spacing w:after="0" w:before="0"/>
              <w:jc w:val="left"/>
            </w:pPr>
            <w:r/>
            <w:r>
              <w:rPr>
                <w:rFonts w:ascii="Aptos" w:hAnsi="Aptos"/>
                <w:b w:val="0"/>
                <w:sz w:val="16"/>
              </w:rPr>
              <w:t>Model assumption to avoid treating all 52 weeks as fully productive.</w:t>
            </w:r>
          </w:p>
        </w:tc>
      </w:tr>
      <w:tr>
        <w:trPr>
          <w:cantSplit/>
        </w:trPr>
        <w:tc>
          <w:tcPr>
            <w:tcW w:type="dxa" w:w="2448"/>
            <w:vAlign w:val="center"/>
            <w:tcMar>
              <w:top w:w="100" w:type="dxa"/>
              <w:start w:w="110" w:type="dxa"/>
              <w:bottom w:w="100" w:type="dxa"/>
              <w:end w:w="110" w:type="dxa"/>
            </w:tcMar>
          </w:tcPr>
          <w:p>
            <w:pPr>
              <w:spacing w:after="0" w:before="0"/>
              <w:jc w:val="left"/>
            </w:pPr>
            <w:r/>
            <w:r>
              <w:rPr>
                <w:rFonts w:ascii="Aptos" w:hAnsi="Aptos"/>
                <w:b w:val="0"/>
                <w:sz w:val="16"/>
              </w:rPr>
              <w:t>Loaded labor cost - small</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$60/hour</w:t>
            </w:r>
          </w:p>
        </w:tc>
        <w:tc>
          <w:tcPr>
            <w:tcW w:type="dxa" w:w="5112"/>
            <w:vAlign w:val="center"/>
            <w:tcMar>
              <w:top w:w="100" w:type="dxa"/>
              <w:start w:w="110" w:type="dxa"/>
              <w:bottom w:w="100" w:type="dxa"/>
              <w:end w:w="110" w:type="dxa"/>
            </w:tcMar>
          </w:tcPr>
          <w:p>
            <w:pPr>
              <w:spacing w:after="0" w:before="0"/>
              <w:jc w:val="left"/>
            </w:pPr>
            <w:r/>
            <w:r>
              <w:rPr>
                <w:rFonts w:ascii="Aptos" w:hAnsi="Aptos"/>
                <w:b w:val="0"/>
                <w:sz w:val="16"/>
              </w:rPr>
              <w:t>Rounded above BLS/O*NET loaded median estimate.</w:t>
            </w:r>
          </w:p>
        </w:tc>
      </w:tr>
      <w:tr>
        <w:trPr>
          <w:cantSplit/>
        </w:trPr>
        <w:tc>
          <w:tcPr>
            <w:tcW w:type="dxa" w:w="2448"/>
            <w:vAlign w:val="center"/>
            <w:tcMar>
              <w:top w:w="100" w:type="dxa"/>
              <w:start w:w="110" w:type="dxa"/>
              <w:bottom w:w="100" w:type="dxa"/>
              <w:end w:w="110" w:type="dxa"/>
            </w:tcMar>
          </w:tcPr>
          <w:p>
            <w:pPr>
              <w:spacing w:after="0" w:before="0"/>
              <w:jc w:val="left"/>
            </w:pPr>
            <w:r/>
            <w:r>
              <w:rPr>
                <w:rFonts w:ascii="Aptos" w:hAnsi="Aptos"/>
                <w:b w:val="0"/>
                <w:sz w:val="16"/>
              </w:rPr>
              <w:t>Loaded labor cost - growth</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$75/hour</w:t>
            </w:r>
          </w:p>
        </w:tc>
        <w:tc>
          <w:tcPr>
            <w:tcW w:type="dxa" w:w="5112"/>
            <w:vAlign w:val="center"/>
            <w:tcMar>
              <w:top w:w="100" w:type="dxa"/>
              <w:start w:w="110" w:type="dxa"/>
              <w:bottom w:w="100" w:type="dxa"/>
              <w:end w:w="110" w:type="dxa"/>
            </w:tcMar>
          </w:tcPr>
          <w:p>
            <w:pPr>
              <w:spacing w:after="0" w:before="0"/>
              <w:jc w:val="left"/>
            </w:pPr>
            <w:r/>
            <w:r>
              <w:rPr>
                <w:rFonts w:ascii="Aptos" w:hAnsi="Aptos"/>
                <w:b w:val="0"/>
                <w:sz w:val="16"/>
              </w:rPr>
              <w:t>Approximately loaded 75th-percentile compliance/regulatory wage.</w:t>
            </w:r>
          </w:p>
        </w:tc>
      </w:tr>
      <w:tr>
        <w:trPr>
          <w:cantSplit/>
        </w:trPr>
        <w:tc>
          <w:tcPr>
            <w:tcW w:type="dxa" w:w="2448"/>
            <w:vAlign w:val="center"/>
            <w:tcMar>
              <w:top w:w="100" w:type="dxa"/>
              <w:start w:w="110" w:type="dxa"/>
              <w:bottom w:w="100" w:type="dxa"/>
              <w:end w:w="110" w:type="dxa"/>
            </w:tcMar>
          </w:tcPr>
          <w:p>
            <w:pPr>
              <w:spacing w:after="0" w:before="0"/>
              <w:jc w:val="left"/>
            </w:pPr>
            <w:r/>
            <w:r>
              <w:rPr>
                <w:rFonts w:ascii="Aptos" w:hAnsi="Aptos"/>
                <w:b w:val="0"/>
                <w:sz w:val="16"/>
              </w:rPr>
              <w:t>Loaded labor cost - established</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$85/hour</w:t>
            </w:r>
          </w:p>
        </w:tc>
        <w:tc>
          <w:tcPr>
            <w:tcW w:type="dxa" w:w="5112"/>
            <w:vAlign w:val="center"/>
            <w:tcMar>
              <w:top w:w="100" w:type="dxa"/>
              <w:start w:w="110" w:type="dxa"/>
              <w:bottom w:w="100" w:type="dxa"/>
              <w:end w:w="110" w:type="dxa"/>
            </w:tcMar>
          </w:tcPr>
          <w:p>
            <w:pPr>
              <w:spacing w:after="0" w:before="0"/>
              <w:jc w:val="left"/>
            </w:pPr>
            <w:r/>
            <w:r>
              <w:rPr>
                <w:rFonts w:ascii="Aptos" w:hAnsi="Aptos"/>
                <w:b w:val="0"/>
                <w:sz w:val="16"/>
              </w:rPr>
              <w:t>Illustrative blended rate including senior/managerial work.</w:t>
            </w:r>
          </w:p>
        </w:tc>
      </w:tr>
      <w:tr>
        <w:trPr>
          <w:cantSplit/>
        </w:trPr>
        <w:tc>
          <w:tcPr>
            <w:tcW w:type="dxa" w:w="2448"/>
            <w:vAlign w:val="center"/>
            <w:tcMar>
              <w:top w:w="100" w:type="dxa"/>
              <w:start w:w="110" w:type="dxa"/>
              <w:bottom w:w="100" w:type="dxa"/>
              <w:end w:w="110" w:type="dxa"/>
            </w:tcMar>
          </w:tcPr>
          <w:p>
            <w:pPr>
              <w:spacing w:after="0" w:before="0"/>
              <w:jc w:val="left"/>
            </w:pPr>
            <w:r/>
            <w:r>
              <w:rPr>
                <w:rFonts w:ascii="Aptos" w:hAnsi="Aptos"/>
                <w:b w:val="0"/>
                <w:sz w:val="16"/>
              </w:rPr>
              <w:t>Time reduction - conservative</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15%</w:t>
            </w:r>
          </w:p>
        </w:tc>
        <w:tc>
          <w:tcPr>
            <w:tcW w:type="dxa" w:w="5112"/>
            <w:vAlign w:val="center"/>
            <w:tcMar>
              <w:top w:w="100" w:type="dxa"/>
              <w:start w:w="110" w:type="dxa"/>
              <w:bottom w:w="100" w:type="dxa"/>
              <w:end w:w="110" w:type="dxa"/>
            </w:tcMar>
          </w:tcPr>
          <w:p>
            <w:pPr>
              <w:spacing w:after="0" w:before="0"/>
              <w:jc w:val="left"/>
            </w:pPr>
            <w:r/>
            <w:r>
              <w:rPr>
                <w:rFonts w:ascii="Aptos" w:hAnsi="Aptos"/>
                <w:b w:val="0"/>
                <w:sz w:val="16"/>
              </w:rPr>
              <w:t>Near real-world average productivity effect reported by Brynjolfsson et al. (2025), but applied only to eligible time.</w:t>
            </w:r>
          </w:p>
        </w:tc>
      </w:tr>
      <w:tr>
        <w:trPr>
          <w:cantSplit/>
        </w:trPr>
        <w:tc>
          <w:tcPr>
            <w:tcW w:type="dxa" w:w="2448"/>
            <w:vAlign w:val="center"/>
            <w:tcMar>
              <w:top w:w="100" w:type="dxa"/>
              <w:start w:w="110" w:type="dxa"/>
              <w:bottom w:w="100" w:type="dxa"/>
              <w:end w:w="110" w:type="dxa"/>
            </w:tcMar>
          </w:tcPr>
          <w:p>
            <w:pPr>
              <w:spacing w:after="0" w:before="0"/>
              <w:jc w:val="left"/>
            </w:pPr>
            <w:r/>
            <w:r>
              <w:rPr>
                <w:rFonts w:ascii="Aptos" w:hAnsi="Aptos"/>
                <w:b w:val="0"/>
                <w:sz w:val="16"/>
              </w:rPr>
              <w:t>Time reduction - base</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25%</w:t>
            </w:r>
          </w:p>
        </w:tc>
        <w:tc>
          <w:tcPr>
            <w:tcW w:type="dxa" w:w="5112"/>
            <w:vAlign w:val="center"/>
            <w:tcMar>
              <w:top w:w="100" w:type="dxa"/>
              <w:start w:w="110" w:type="dxa"/>
              <w:bottom w:w="100" w:type="dxa"/>
              <w:end w:w="110" w:type="dxa"/>
            </w:tcMar>
          </w:tcPr>
          <w:p>
            <w:pPr>
              <w:spacing w:after="0" w:before="0"/>
              <w:jc w:val="left"/>
            </w:pPr>
            <w:r/>
            <w:r>
              <w:rPr>
                <w:rFonts w:ascii="Aptos" w:hAnsi="Aptos"/>
                <w:b w:val="0"/>
                <w:sz w:val="16"/>
              </w:rPr>
              <w:t>Near Dell’Acqua et al. (2026) speed gain and slightly above EDC-vs-spreadsheet evidence.</w:t>
            </w:r>
          </w:p>
        </w:tc>
      </w:tr>
      <w:tr>
        <w:trPr>
          <w:cantSplit/>
        </w:trPr>
        <w:tc>
          <w:tcPr>
            <w:tcW w:type="dxa" w:w="2448"/>
            <w:vAlign w:val="center"/>
            <w:tcMar>
              <w:top w:w="100" w:type="dxa"/>
              <w:start w:w="110" w:type="dxa"/>
              <w:bottom w:w="100" w:type="dxa"/>
              <w:end w:w="110" w:type="dxa"/>
            </w:tcMar>
          </w:tcPr>
          <w:p>
            <w:pPr>
              <w:spacing w:after="0" w:before="0"/>
              <w:jc w:val="left"/>
            </w:pPr>
            <w:r/>
            <w:r>
              <w:rPr>
                <w:rFonts w:ascii="Aptos" w:hAnsi="Aptos"/>
                <w:b w:val="0"/>
                <w:sz w:val="16"/>
              </w:rPr>
              <w:t>Time reduction - high utilization</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35%</w:t>
            </w:r>
          </w:p>
        </w:tc>
        <w:tc>
          <w:tcPr>
            <w:tcW w:type="dxa" w:w="5112"/>
            <w:vAlign w:val="center"/>
            <w:tcMar>
              <w:top w:w="100" w:type="dxa"/>
              <w:start w:w="110" w:type="dxa"/>
              <w:bottom w:w="100" w:type="dxa"/>
              <w:end w:w="110" w:type="dxa"/>
            </w:tcMar>
          </w:tcPr>
          <w:p>
            <w:pPr>
              <w:spacing w:after="0" w:before="0"/>
              <w:jc w:val="left"/>
            </w:pPr>
            <w:r/>
            <w:r>
              <w:rPr>
                <w:rFonts w:ascii="Aptos" w:hAnsi="Aptos"/>
                <w:b w:val="0"/>
                <w:sz w:val="16"/>
              </w:rPr>
              <w:t>Below the 40% Noy &amp; Zhang writing result; intended only for well-suited, high-use workflows.</w:t>
            </w:r>
          </w:p>
        </w:tc>
      </w:tr>
      <w:tr>
        <w:trPr>
          <w:cantSplit/>
        </w:trPr>
        <w:tc>
          <w:tcPr>
            <w:tcW w:type="dxa" w:w="2448"/>
            <w:vAlign w:val="center"/>
            <w:tcMar>
              <w:top w:w="100" w:type="dxa"/>
              <w:start w:w="110" w:type="dxa"/>
              <w:bottom w:w="100" w:type="dxa"/>
              <w:end w:w="110" w:type="dxa"/>
            </w:tcMar>
          </w:tcPr>
          <w:p>
            <w:pPr>
              <w:spacing w:after="0" w:before="0"/>
              <w:jc w:val="left"/>
            </w:pPr>
            <w:r/>
            <w:r>
              <w:rPr>
                <w:rFonts w:ascii="Aptos" w:hAnsi="Aptos"/>
                <w:b w:val="0"/>
                <w:sz w:val="16"/>
              </w:rPr>
              <w:t>Consulting avoidance</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$0 in core ROI</w:t>
            </w:r>
          </w:p>
        </w:tc>
        <w:tc>
          <w:tcPr>
            <w:tcW w:type="dxa" w:w="5112"/>
            <w:vAlign w:val="center"/>
            <w:tcMar>
              <w:top w:w="100" w:type="dxa"/>
              <w:start w:w="110" w:type="dxa"/>
              <w:bottom w:w="100" w:type="dxa"/>
              <w:end w:w="110" w:type="dxa"/>
            </w:tcMar>
          </w:tcPr>
          <w:p>
            <w:pPr>
              <w:spacing w:after="0" w:before="0"/>
              <w:jc w:val="left"/>
            </w:pPr>
            <w:r/>
            <w:r>
              <w:rPr>
                <w:rFonts w:ascii="Aptos" w:hAnsi="Aptos"/>
                <w:b w:val="0"/>
                <w:sz w:val="16"/>
              </w:rPr>
              <w:t>Excluded to avoid weak assumptions and double counting.</w:t>
            </w:r>
          </w:p>
        </w:tc>
      </w:tr>
      <w:tr>
        <w:trPr>
          <w:cantSplit/>
        </w:trPr>
        <w:tc>
          <w:tcPr>
            <w:tcW w:type="dxa" w:w="2448"/>
            <w:vAlign w:val="center"/>
            <w:tcMar>
              <w:top w:w="100" w:type="dxa"/>
              <w:start w:w="110" w:type="dxa"/>
              <w:bottom w:w="100" w:type="dxa"/>
              <w:end w:w="110" w:type="dxa"/>
            </w:tcMar>
          </w:tcPr>
          <w:p>
            <w:pPr>
              <w:spacing w:after="0" w:before="0"/>
              <w:jc w:val="left"/>
            </w:pPr>
            <w:r/>
            <w:r>
              <w:rPr>
                <w:rFonts w:ascii="Aptos" w:hAnsi="Aptos"/>
                <w:b w:val="0"/>
                <w:sz w:val="16"/>
              </w:rPr>
              <w:t>Revenue benefit</w:t>
            </w:r>
          </w:p>
        </w:tc>
        <w:tc>
          <w:tcPr>
            <w:tcW w:type="dxa" w:w="1800"/>
            <w:vAlign w:val="center"/>
            <w:tcMar>
              <w:top w:w="100" w:type="dxa"/>
              <w:start w:w="110" w:type="dxa"/>
              <w:bottom w:w="100" w:type="dxa"/>
              <w:end w:w="110" w:type="dxa"/>
            </w:tcMar>
          </w:tcPr>
          <w:p>
            <w:pPr>
              <w:spacing w:after="0" w:before="0"/>
              <w:jc w:val="left"/>
            </w:pPr>
            <w:r/>
            <w:r>
              <w:rPr>
                <w:rFonts w:ascii="Aptos" w:hAnsi="Aptos"/>
                <w:b w:val="0"/>
                <w:sz w:val="16"/>
              </w:rPr>
              <w:t>$0 in core ROI</w:t>
            </w:r>
          </w:p>
        </w:tc>
        <w:tc>
          <w:tcPr>
            <w:tcW w:type="dxa" w:w="5112"/>
            <w:vAlign w:val="center"/>
            <w:tcMar>
              <w:top w:w="100" w:type="dxa"/>
              <w:start w:w="110" w:type="dxa"/>
              <w:bottom w:w="100" w:type="dxa"/>
              <w:end w:w="110" w:type="dxa"/>
            </w:tcMar>
          </w:tcPr>
          <w:p>
            <w:pPr>
              <w:spacing w:after="0" w:before="0"/>
              <w:jc w:val="left"/>
            </w:pPr>
            <w:r/>
            <w:r>
              <w:rPr>
                <w:rFonts w:ascii="Aptos" w:hAnsi="Aptos"/>
                <w:b w:val="0"/>
                <w:sz w:val="16"/>
              </w:rPr>
              <w:t>Excluded because revenue is downstream and company-specific.</w:t>
            </w:r>
          </w:p>
        </w:tc>
      </w:tr>
    </w:tbl>
    <w:p>
      <w:pPr>
        <w:spacing w:after="40"/>
      </w:pPr>
    </w:p>
    <w:p>
      <w:pPr>
        <w:pStyle w:val="Heading1"/>
      </w:pPr>
      <w:r>
        <w:t>Appendix B. Classification of Claims</w:t>
      </w:r>
    </w:p>
    <w:p>
      <w:pPr>
        <w:spacing w:after="140" w:line="269" w:lineRule="auto"/>
      </w:pPr>
      <w:r>
        <w:t>Published Evidence: directly supported by an external source. Qevatrix Economic Model: calculated using disclosed assumptions and current Qevatrix pricing. Illustrative Scenario: a hypothetical example used to show how released capacity might be reallocated. Website copy should label modeled or illustrative values wherever a reader could otherwise interpret them as measured Qevatrix outcomes.</w:t>
      </w:r>
    </w:p>
    <w:sectPr w:rsidR="00FC693F" w:rsidRPr="0006063C" w:rsidSect="00034616">
      <w:footerReference w:type="default" r:id="rId9"/>
      <w:pgSz w:w="12240" w:h="15840"/>
      <w:pgMar w:top="1037" w:right="1123" w:bottom="1008"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6"/>
      </w:rPr>
      <w:t xml:space="preserve">Qevatrix Productivity and Economic Impact Study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63A4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18323D"/>
      <w:sz w:val="36"/>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ascii="Aptos Display" w:hAnsi="Aptos Display"/>
      <w:b/>
      <w:bCs/>
      <w:color w:val="00AEB8"/>
      <w:sz w:val="26"/>
      <w:szCs w:val="26"/>
    </w:rPr>
  </w:style>
  <w:style w:type="paragraph" w:styleId="Heading3">
    <w:name w:val="heading 3"/>
    <w:basedOn w:val="Normal"/>
    <w:next w:val="Normal"/>
    <w:link w:val="Heading3Char"/>
    <w:uiPriority w:val="9"/>
    <w:unhideWhenUsed/>
    <w:qFormat/>
    <w:rsid w:val="00FC693F"/>
    <w:pPr>
      <w:keepNext/>
      <w:keepLines/>
      <w:spacing w:before="100" w:after="80"/>
      <w:outlineLvl w:val="2"/>
    </w:pPr>
    <w:rPr>
      <w:rFonts w:asciiTheme="majorHAnsi" w:eastAsiaTheme="majorEastAsia" w:hAnsiTheme="majorHAnsi" w:cstheme="majorBidi" w:ascii="Aptos Display" w:hAnsi="Aptos Display"/>
      <w:b/>
      <w:bCs/>
      <w:color w:val="18323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240"/>
      <w:contextualSpacing/>
    </w:pPr>
    <w:rPr>
      <w:rFonts w:asciiTheme="majorHAnsi" w:eastAsiaTheme="majorEastAsia" w:hAnsiTheme="majorHAnsi" w:cstheme="majorBidi" w:ascii="Aptos Display" w:hAnsi="Aptos Display"/>
      <w:b/>
      <w:color w:val="18323D"/>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sz w:val="20"/>
    </w:rPr>
  </w:style>
  <w:style w:type="paragraph" w:styleId="ListBullet2">
    <w:name w:val="List Bullet 2"/>
    <w:basedOn w:val="Normal"/>
    <w:uiPriority w:val="99"/>
    <w:unhideWhenUsed/>
    <w:rsid w:val="00326F90"/>
    <w:pPr>
      <w:numPr>
        <w:numId w:val="2"/>
      </w:numPr>
      <w:contextualSpacing/>
    </w:pPr>
    <w:rPr>
      <w:rFonts w:ascii="Aptos" w:hAnsi="Aptos"/>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ptos" w:hAnsi="Aptos"/>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